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7C" w:rsidRPr="009E119C" w:rsidRDefault="00681B7C" w:rsidP="00866F65">
      <w:pPr>
        <w:jc w:val="center"/>
        <w:outlineLvl w:val="0"/>
        <w:rPr>
          <w:b/>
          <w:lang w:val="en-GB"/>
        </w:rPr>
      </w:pPr>
      <w:r w:rsidRPr="009E119C">
        <w:rPr>
          <w:b/>
          <w:lang w:val="en-GB"/>
        </w:rPr>
        <w:t xml:space="preserve">NOTICE OF VACANCY </w:t>
      </w:r>
    </w:p>
    <w:p w:rsidR="00681B7C" w:rsidRPr="009E119C" w:rsidRDefault="00681B7C">
      <w:pPr>
        <w:jc w:val="center"/>
        <w:rPr>
          <w:b/>
          <w:lang w:val="en-GB"/>
        </w:rPr>
      </w:pPr>
    </w:p>
    <w:p w:rsidR="00681B7C" w:rsidRPr="009E119C" w:rsidRDefault="00681B7C" w:rsidP="00866F65">
      <w:pPr>
        <w:jc w:val="center"/>
        <w:outlineLvl w:val="0"/>
        <w:rPr>
          <w:b/>
          <w:lang w:val="en-GB"/>
        </w:rPr>
      </w:pPr>
      <w:r w:rsidRPr="009E119C">
        <w:rPr>
          <w:b/>
          <w:lang w:val="en-GB"/>
        </w:rPr>
        <w:t>SECONDED NATIONAL EXPERTS</w:t>
      </w:r>
    </w:p>
    <w:p w:rsidR="00681B7C" w:rsidRPr="009E119C" w:rsidRDefault="00681B7C">
      <w:pPr>
        <w:jc w:val="center"/>
        <w:rPr>
          <w:b/>
          <w:lang w:val="en-GB"/>
        </w:rPr>
      </w:pPr>
    </w:p>
    <w:p w:rsidR="00681B7C" w:rsidRPr="009E119C" w:rsidRDefault="00681B7C">
      <w:pPr>
        <w:jc w:val="center"/>
        <w:rPr>
          <w:b/>
          <w:lang w:val="en-GB"/>
        </w:rPr>
      </w:pPr>
    </w:p>
    <w:p w:rsidR="00681B7C" w:rsidRPr="009E119C" w:rsidRDefault="00681B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lang w:val="en-GB"/>
        </w:rPr>
      </w:pPr>
    </w:p>
    <w:p w:rsidR="00681B7C" w:rsidRPr="009E119C" w:rsidRDefault="00681B7C">
      <w:pPr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" w:hanging="340"/>
        <w:jc w:val="both"/>
        <w:rPr>
          <w:b/>
          <w:lang w:val="en-GB"/>
        </w:rPr>
      </w:pPr>
      <w:r w:rsidRPr="009E119C">
        <w:rPr>
          <w:b/>
          <w:lang w:val="en-GB"/>
        </w:rPr>
        <w:t>Directorate general</w:t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  <w:t>:</w:t>
      </w:r>
      <w:r w:rsidR="00E87A2C">
        <w:rPr>
          <w:b/>
          <w:lang w:val="en-GB"/>
        </w:rPr>
        <w:t xml:space="preserve"> JUSTICE</w:t>
      </w:r>
      <w:r w:rsidR="00E87A2C">
        <w:rPr>
          <w:b/>
          <w:lang w:val="en-GB"/>
        </w:rPr>
        <w:tab/>
      </w:r>
      <w:r w:rsidRPr="009E119C">
        <w:rPr>
          <w:b/>
          <w:lang w:val="en-GB"/>
        </w:rPr>
        <w:br/>
      </w:r>
      <w:r w:rsidR="00A529EC">
        <w:rPr>
          <w:b/>
          <w:lang w:val="en-GB"/>
        </w:rPr>
        <w:t xml:space="preserve">- </w:t>
      </w:r>
      <w:r w:rsidRPr="009E119C">
        <w:rPr>
          <w:b/>
          <w:lang w:val="en-GB"/>
        </w:rPr>
        <w:t>Directorate</w:t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  <w:t>:</w:t>
      </w:r>
      <w:r w:rsidR="002D7863">
        <w:rPr>
          <w:b/>
          <w:lang w:val="en-GB"/>
        </w:rPr>
        <w:t xml:space="preserve"> </w:t>
      </w:r>
      <w:r w:rsidR="00A529EC" w:rsidRPr="00AD2BE3">
        <w:rPr>
          <w:b/>
          <w:sz w:val="18"/>
          <w:szCs w:val="18"/>
          <w:lang w:val="en-GB"/>
        </w:rPr>
        <w:t>C "Fundamental Rights &amp; Union  Citizenship"</w:t>
      </w:r>
      <w:r w:rsidRPr="00AD2BE3">
        <w:rPr>
          <w:b/>
          <w:sz w:val="18"/>
          <w:szCs w:val="18"/>
          <w:lang w:val="en-GB"/>
        </w:rPr>
        <w:br/>
      </w:r>
      <w:r w:rsidRPr="009E119C">
        <w:rPr>
          <w:b/>
          <w:lang w:val="en-GB"/>
        </w:rPr>
        <w:t>- Unit</w:t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  <w:t>:</w:t>
      </w:r>
      <w:r w:rsidR="002D7863">
        <w:rPr>
          <w:b/>
          <w:lang w:val="en-GB"/>
        </w:rPr>
        <w:t xml:space="preserve"> </w:t>
      </w:r>
      <w:r w:rsidR="00E87A2C" w:rsidRPr="00AD2BE3">
        <w:rPr>
          <w:b/>
          <w:sz w:val="18"/>
          <w:szCs w:val="18"/>
          <w:lang w:val="en-GB"/>
        </w:rPr>
        <w:t>C1</w:t>
      </w:r>
      <w:r w:rsidR="00AD2BE3">
        <w:rPr>
          <w:b/>
          <w:sz w:val="18"/>
          <w:szCs w:val="18"/>
          <w:lang w:val="en-GB"/>
        </w:rPr>
        <w:t xml:space="preserve"> Fundamental Rights &amp; Rights of the Child</w:t>
      </w:r>
      <w:r w:rsidRPr="009E119C">
        <w:rPr>
          <w:b/>
          <w:lang w:val="en-GB"/>
        </w:rPr>
        <w:br/>
        <w:t>- Place</w:t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  <w:t>:</w:t>
      </w:r>
      <w:r w:rsidR="002D7863">
        <w:rPr>
          <w:b/>
          <w:lang w:val="en-GB"/>
        </w:rPr>
        <w:t xml:space="preserve"> </w:t>
      </w:r>
      <w:r w:rsidR="00E87A2C">
        <w:rPr>
          <w:b/>
          <w:lang w:val="en-GB"/>
        </w:rPr>
        <w:t>Brussels</w:t>
      </w:r>
      <w:r w:rsidR="00E87A2C">
        <w:rPr>
          <w:b/>
          <w:lang w:val="en-GB"/>
        </w:rPr>
        <w:tab/>
      </w:r>
      <w:r w:rsidRPr="009E119C">
        <w:rPr>
          <w:b/>
          <w:lang w:val="en-GB"/>
        </w:rPr>
        <w:br/>
        <w:t>- Head of Unit</w:t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  <w:t>:</w:t>
      </w:r>
      <w:r w:rsidR="002D7863">
        <w:rPr>
          <w:b/>
          <w:lang w:val="en-GB"/>
        </w:rPr>
        <w:t xml:space="preserve"> </w:t>
      </w:r>
      <w:r w:rsidR="00E87A2C">
        <w:rPr>
          <w:b/>
          <w:lang w:val="en-GB"/>
        </w:rPr>
        <w:t>Emmanuel CRABIT</w:t>
      </w:r>
      <w:r w:rsidR="00E87A2C">
        <w:rPr>
          <w:b/>
          <w:lang w:val="en-GB"/>
        </w:rPr>
        <w:tab/>
      </w:r>
      <w:r w:rsidR="00E87A2C">
        <w:rPr>
          <w:b/>
          <w:lang w:val="en-GB"/>
        </w:rPr>
        <w:tab/>
      </w:r>
      <w:r w:rsidRPr="009E119C">
        <w:rPr>
          <w:b/>
          <w:lang w:val="en-GB"/>
        </w:rPr>
        <w:br/>
      </w:r>
    </w:p>
    <w:p w:rsidR="00681B7C" w:rsidRDefault="00681B7C" w:rsidP="00866F65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outlineLvl w:val="0"/>
        <w:rPr>
          <w:b/>
          <w:lang w:val="en-GB"/>
        </w:rPr>
      </w:pP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9E119C">
        <w:rPr>
          <w:b/>
          <w:lang w:val="en-GB"/>
        </w:rPr>
        <w:tab/>
      </w:r>
      <w:r w:rsidRPr="00C0326D">
        <w:rPr>
          <w:b/>
          <w:lang w:val="en-GB"/>
        </w:rPr>
        <w:t>Tel.</w:t>
      </w:r>
      <w:r w:rsidR="00E87A2C">
        <w:rPr>
          <w:b/>
          <w:lang w:val="en-GB"/>
        </w:rPr>
        <w:t xml:space="preserve"> 58114</w:t>
      </w:r>
    </w:p>
    <w:p w:rsidR="00C0326D" w:rsidRPr="00C0326D" w:rsidRDefault="00C0326D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lang w:val="en-GB"/>
        </w:rPr>
      </w:pPr>
    </w:p>
    <w:p w:rsidR="00C0326D" w:rsidRPr="009E0BE0" w:rsidRDefault="00681B7C" w:rsidP="00C032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426"/>
        <w:jc w:val="both"/>
        <w:rPr>
          <w:b/>
          <w:lang w:val="en-GB"/>
        </w:rPr>
      </w:pPr>
      <w:r w:rsidRPr="00C0326D">
        <w:rPr>
          <w:b/>
          <w:lang w:val="en-GB"/>
        </w:rPr>
        <w:t xml:space="preserve">- </w:t>
      </w:r>
      <w:r w:rsidR="009E119C" w:rsidRPr="00C0326D">
        <w:rPr>
          <w:b/>
          <w:lang w:val="en-GB"/>
        </w:rPr>
        <w:t xml:space="preserve">Suggested </w:t>
      </w:r>
      <w:r w:rsidR="00C0326D" w:rsidRPr="00C0326D">
        <w:rPr>
          <w:b/>
          <w:lang w:val="en-GB"/>
        </w:rPr>
        <w:t>taking up duty</w:t>
      </w:r>
      <w:r w:rsidR="00C0326D" w:rsidRPr="00C0326D">
        <w:rPr>
          <w:b/>
          <w:lang w:val="en-GB"/>
        </w:rPr>
        <w:tab/>
      </w:r>
      <w:r w:rsidR="00C0326D" w:rsidRPr="00C0326D">
        <w:rPr>
          <w:b/>
          <w:lang w:val="en-GB"/>
        </w:rPr>
        <w:tab/>
      </w:r>
      <w:r w:rsidRPr="00C0326D">
        <w:rPr>
          <w:b/>
          <w:lang w:val="en-GB"/>
        </w:rPr>
        <w:t>:</w:t>
      </w:r>
      <w:r w:rsidR="00C0326D">
        <w:rPr>
          <w:b/>
          <w:lang w:val="en-GB"/>
        </w:rPr>
        <w:tab/>
        <w:t>First</w:t>
      </w:r>
      <w:r w:rsidR="00C0326D" w:rsidRPr="00C0326D">
        <w:rPr>
          <w:b/>
          <w:lang w:val="en-GB"/>
        </w:rPr>
        <w:t xml:space="preserve"> </w:t>
      </w:r>
      <w:r w:rsidR="00C0326D">
        <w:rPr>
          <w:b/>
          <w:lang w:val="en-GB"/>
        </w:rPr>
        <w:t>quarter</w:t>
      </w:r>
      <w:r w:rsidR="00C0326D" w:rsidRPr="00C0326D">
        <w:rPr>
          <w:b/>
          <w:lang w:val="en-GB"/>
        </w:rPr>
        <w:t xml:space="preserve"> 20…</w:t>
      </w:r>
      <w:r w:rsidR="00C0326D" w:rsidRPr="00C0326D">
        <w:rPr>
          <w:b/>
          <w:lang w:val="en-GB"/>
        </w:rPr>
        <w:tab/>
      </w:r>
      <w:r w:rsidR="00C0326D" w:rsidRPr="009E0BE0">
        <w:rPr>
          <w:b/>
          <w:lang w:val="en-GB"/>
        </w:rPr>
        <w:t>□</w:t>
      </w:r>
    </w:p>
    <w:p w:rsidR="00C0326D" w:rsidRPr="009E0BE0" w:rsidRDefault="00C0326D" w:rsidP="00C032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426"/>
        <w:jc w:val="both"/>
        <w:rPr>
          <w:b/>
          <w:lang w:val="en-GB"/>
        </w:rPr>
      </w:pP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  <w:t>Second quarter 20…</w:t>
      </w:r>
      <w:r w:rsidRPr="009E0BE0">
        <w:rPr>
          <w:b/>
          <w:lang w:val="en-GB"/>
        </w:rPr>
        <w:tab/>
        <w:t>□</w:t>
      </w:r>
    </w:p>
    <w:p w:rsidR="00C0326D" w:rsidRPr="00E87A2C" w:rsidRDefault="00C0326D" w:rsidP="00C032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426"/>
        <w:jc w:val="both"/>
        <w:rPr>
          <w:b/>
          <w:lang w:val="en-GB"/>
        </w:rPr>
      </w:pP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9E0BE0">
        <w:rPr>
          <w:b/>
          <w:lang w:val="en-GB"/>
        </w:rPr>
        <w:tab/>
      </w:r>
      <w:r w:rsidRPr="00E87A2C">
        <w:rPr>
          <w:b/>
          <w:lang w:val="en-GB"/>
        </w:rPr>
        <w:t>Third quarter 20</w:t>
      </w:r>
      <w:r w:rsidR="00E87A2C" w:rsidRPr="00E87A2C">
        <w:rPr>
          <w:b/>
          <w:lang w:val="en-GB"/>
        </w:rPr>
        <w:t>13</w:t>
      </w:r>
      <w:r w:rsidRPr="00E87A2C">
        <w:rPr>
          <w:b/>
          <w:lang w:val="en-GB"/>
        </w:rPr>
        <w:tab/>
      </w:r>
      <w:r w:rsidR="00E87A2C" w:rsidRPr="00E87A2C">
        <w:rPr>
          <w:b/>
          <w:lang w:val="en-GB"/>
        </w:rPr>
        <w:t>X</w:t>
      </w:r>
    </w:p>
    <w:p w:rsidR="00C0326D" w:rsidRDefault="00C0326D" w:rsidP="00C032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426"/>
        <w:jc w:val="both"/>
        <w:rPr>
          <w:b/>
        </w:rPr>
      </w:pPr>
      <w:r w:rsidRPr="00E87A2C">
        <w:rPr>
          <w:b/>
          <w:lang w:val="en-GB"/>
        </w:rPr>
        <w:tab/>
      </w:r>
      <w:r w:rsidRPr="00E87A2C">
        <w:rPr>
          <w:b/>
          <w:lang w:val="en-GB"/>
        </w:rPr>
        <w:tab/>
      </w:r>
      <w:r w:rsidRPr="00E87A2C">
        <w:rPr>
          <w:b/>
          <w:lang w:val="en-GB"/>
        </w:rPr>
        <w:tab/>
      </w:r>
      <w:r w:rsidRPr="00E87A2C">
        <w:rPr>
          <w:b/>
          <w:lang w:val="en-GB"/>
        </w:rPr>
        <w:tab/>
      </w:r>
      <w:r w:rsidRPr="00E87A2C">
        <w:rPr>
          <w:b/>
          <w:lang w:val="en-GB"/>
        </w:rPr>
        <w:tab/>
      </w:r>
      <w:r w:rsidRPr="00E87A2C">
        <w:rPr>
          <w:b/>
          <w:lang w:val="en-GB"/>
        </w:rPr>
        <w:tab/>
      </w:r>
      <w:r w:rsidRPr="00E87A2C">
        <w:rPr>
          <w:b/>
          <w:lang w:val="en-GB"/>
        </w:rPr>
        <w:tab/>
        <w:t>Fourth quarter 20…</w:t>
      </w:r>
      <w:r w:rsidRPr="00E87A2C">
        <w:rPr>
          <w:b/>
          <w:lang w:val="en-GB"/>
        </w:rPr>
        <w:tab/>
      </w:r>
      <w:r>
        <w:rPr>
          <w:b/>
        </w:rPr>
        <w:t>□</w:t>
      </w:r>
    </w:p>
    <w:p w:rsidR="00C0326D" w:rsidRDefault="00C0326D" w:rsidP="00C032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426"/>
        <w:jc w:val="both"/>
        <w:rPr>
          <w:b/>
        </w:rPr>
      </w:pPr>
    </w:p>
    <w:p w:rsidR="00F63FE6" w:rsidRDefault="00C0326D" w:rsidP="002D78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lang w:val="en-GB"/>
        </w:rPr>
      </w:pPr>
      <w:r w:rsidRPr="00C0326D">
        <w:rPr>
          <w:b/>
          <w:lang w:val="en-GB"/>
        </w:rPr>
        <w:t xml:space="preserve">Please note that the secondment will be governed by the Commission decision </w:t>
      </w:r>
      <w:proofErr w:type="gramStart"/>
      <w:r w:rsidRPr="00C0326D">
        <w:rPr>
          <w:b/>
          <w:lang w:val="en-GB"/>
        </w:rPr>
        <w:t>C(</w:t>
      </w:r>
      <w:proofErr w:type="gramEnd"/>
      <w:r w:rsidRPr="00C0326D">
        <w:rPr>
          <w:b/>
          <w:lang w:val="en-GB"/>
        </w:rPr>
        <w:t xml:space="preserve">2008)6866 of 12/11/2008 </w:t>
      </w:r>
      <w:r w:rsidR="00F63FE6" w:rsidRPr="00F63FE6">
        <w:rPr>
          <w:b/>
          <w:lang w:val="en-GB"/>
        </w:rPr>
        <w:t>laying down rules on the secondment to the Commission of national experts</w:t>
      </w:r>
      <w:r w:rsidR="00F63FE6">
        <w:rPr>
          <w:b/>
          <w:lang w:val="en-GB"/>
        </w:rPr>
        <w:t xml:space="preserve"> </w:t>
      </w:r>
      <w:r w:rsidR="00F63FE6" w:rsidRPr="00F63FE6">
        <w:rPr>
          <w:b/>
          <w:lang w:val="en-GB"/>
        </w:rPr>
        <w:t>and national experts in professional training</w:t>
      </w:r>
      <w:r w:rsidRPr="00C0326D">
        <w:rPr>
          <w:b/>
          <w:lang w:val="en-GB"/>
        </w:rPr>
        <w:t>. This decision is available on</w:t>
      </w:r>
    </w:p>
    <w:p w:rsidR="00B171C4" w:rsidRDefault="00C0326D" w:rsidP="00F63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lang w:val="en-GB"/>
        </w:rPr>
      </w:pPr>
      <w:r w:rsidRPr="00C0326D">
        <w:rPr>
          <w:b/>
          <w:lang w:val="en-GB"/>
        </w:rPr>
        <w:t xml:space="preserve"> </w:t>
      </w:r>
      <w:hyperlink r:id="rId8" w:history="1">
        <w:r w:rsidR="00993A1C" w:rsidRPr="007D2905">
          <w:rPr>
            <w:rStyle w:val="Hyperlink"/>
            <w:b/>
            <w:lang w:val="en-GB"/>
          </w:rPr>
          <w:t>http://ec.europa.eu/civil_service/job/sne/index_en.htm</w:t>
        </w:r>
      </w:hyperlink>
    </w:p>
    <w:p w:rsidR="00B171C4" w:rsidRDefault="00B171C4" w:rsidP="00F63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lang w:val="en-GB"/>
        </w:rPr>
      </w:pPr>
    </w:p>
    <w:p w:rsidR="00681B7C" w:rsidRPr="00C0326D" w:rsidRDefault="00681B7C">
      <w:pPr>
        <w:numPr>
          <w:ilvl w:val="12"/>
          <w:numId w:val="0"/>
        </w:numPr>
        <w:jc w:val="both"/>
        <w:rPr>
          <w:lang w:val="en-GB"/>
        </w:rPr>
        <w:sectPr w:rsidR="00681B7C" w:rsidRPr="00C0326D">
          <w:headerReference w:type="default" r:id="rId9"/>
          <w:footerReference w:type="default" r:id="rId10"/>
          <w:pgSz w:w="11906" w:h="16838"/>
          <w:pgMar w:top="1440" w:right="1800" w:bottom="1440" w:left="1800" w:header="720" w:footer="720" w:gutter="0"/>
          <w:cols w:space="720"/>
        </w:sectPr>
      </w:pPr>
    </w:p>
    <w:p w:rsidR="00681B7C" w:rsidRDefault="00681B7C">
      <w:pPr>
        <w:numPr>
          <w:ilvl w:val="12"/>
          <w:numId w:val="0"/>
        </w:numPr>
        <w:jc w:val="both"/>
        <w:rPr>
          <w:b/>
          <w:lang w:val="en-GB"/>
        </w:rPr>
      </w:pPr>
    </w:p>
    <w:p w:rsidR="00B171C4" w:rsidRPr="00C0326D" w:rsidRDefault="00B171C4">
      <w:pPr>
        <w:numPr>
          <w:ilvl w:val="12"/>
          <w:numId w:val="0"/>
        </w:numPr>
        <w:jc w:val="both"/>
        <w:rPr>
          <w:b/>
          <w:lang w:val="en-GB"/>
        </w:rPr>
      </w:pPr>
    </w:p>
    <w:p w:rsidR="00681B7C" w:rsidRPr="00C0326D" w:rsidRDefault="00681B7C">
      <w:pPr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" w:hanging="340"/>
        <w:jc w:val="both"/>
        <w:rPr>
          <w:b/>
          <w:lang w:val="en-GB"/>
        </w:rPr>
      </w:pPr>
      <w:r w:rsidRPr="00C0326D">
        <w:rPr>
          <w:b/>
          <w:lang w:val="en-GB"/>
        </w:rPr>
        <w:t>Main areas of responsibility :</w:t>
      </w:r>
    </w:p>
    <w:p w:rsidR="00681B7C" w:rsidRPr="00C0326D" w:rsidRDefault="00681B7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</w:p>
    <w:p w:rsidR="009E0BE0" w:rsidRDefault="002D7863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The Unit is </w:t>
      </w:r>
      <w:r w:rsidR="00E87A2C" w:rsidRPr="00E87A2C">
        <w:rPr>
          <w:lang w:val="en-GB"/>
        </w:rPr>
        <w:t>responsible for promoting the respect of fu</w:t>
      </w:r>
      <w:r w:rsidR="009E0BE0">
        <w:rPr>
          <w:lang w:val="en-GB"/>
        </w:rPr>
        <w:t xml:space="preserve">ndamental rights within the EU </w:t>
      </w:r>
      <w:r>
        <w:rPr>
          <w:lang w:val="en-GB"/>
        </w:rPr>
        <w:t xml:space="preserve">as well as of </w:t>
      </w:r>
      <w:r w:rsidR="00E87A2C" w:rsidRPr="00E87A2C">
        <w:rPr>
          <w:lang w:val="en-GB"/>
        </w:rPr>
        <w:t>the strategy for the effective implementation of the Charter of Fundamental Rights and of the EU agenda for the rights of the child.</w:t>
      </w:r>
    </w:p>
    <w:p w:rsidR="00E87A2C" w:rsidRPr="00E87A2C" w:rsidRDefault="002D7863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We are in charge of</w:t>
      </w:r>
      <w:r w:rsidR="00E87A2C" w:rsidRPr="00E87A2C">
        <w:rPr>
          <w:lang w:val="en-GB"/>
        </w:rPr>
        <w:t>: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- making sure that the EU is beyond reproach in terms of fundamental rights when legislating as well as when Member States implement EU law;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- developing and implementing the EU Agenda for the rights of the child;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the</w:t>
      </w:r>
      <w:proofErr w:type="gramEnd"/>
      <w:r w:rsidRPr="00E87A2C">
        <w:rPr>
          <w:lang w:val="en-GB"/>
        </w:rPr>
        <w:t xml:space="preserve"> promotion of the fight against xenophobia, racism and homophobia and of the rights of persons belonging to minorities;</w:t>
      </w:r>
    </w:p>
    <w:p w:rsidR="00681B7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the</w:t>
      </w:r>
      <w:proofErr w:type="gramEnd"/>
      <w:r w:rsidRPr="00E87A2C">
        <w:rPr>
          <w:lang w:val="en-GB"/>
        </w:rPr>
        <w:t xml:space="preserve"> relationship with the European Union Agency for Fundamental Rights.</w:t>
      </w:r>
    </w:p>
    <w:p w:rsidR="00681B7C" w:rsidRDefault="00681B7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</w:p>
    <w:p w:rsidR="002E4EB6" w:rsidRDefault="00AD2BE3" w:rsidP="00AD2BE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>
        <w:rPr>
          <w:lang w:val="en-GB"/>
        </w:rPr>
        <w:t>We propose a</w:t>
      </w:r>
      <w:r w:rsidRPr="00E87A2C">
        <w:rPr>
          <w:lang w:val="en-GB"/>
        </w:rPr>
        <w:t xml:space="preserve"> challenging post in a sensitive policy area that receives a lot of attention from the media and the general public, offering a bird's eye view of Commission policies.</w:t>
      </w:r>
    </w:p>
    <w:p w:rsidR="00AD2BE3" w:rsidRPr="00E87A2C" w:rsidRDefault="00AD2BE3" w:rsidP="00AD2BE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The successful candidate will:</w:t>
      </w:r>
    </w:p>
    <w:p w:rsidR="00AD2BE3" w:rsidRPr="00E87A2C" w:rsidRDefault="00AD2BE3" w:rsidP="00AD2BE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proactively</w:t>
      </w:r>
      <w:proofErr w:type="gramEnd"/>
      <w:r w:rsidRPr="00E87A2C">
        <w:rPr>
          <w:lang w:val="en-GB"/>
        </w:rPr>
        <w:t xml:space="preserve"> assist and advise Commission departments on how to ensure the respect of the Charter when they prepare and negotiate new EU initiatives;</w:t>
      </w:r>
    </w:p>
    <w:p w:rsidR="00AD2BE3" w:rsidRPr="00E87A2C" w:rsidRDefault="00AD2BE3" w:rsidP="00AD2BE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- investigate cases of violation of the Charter by Member States when they implement EU law;</w:t>
      </w:r>
    </w:p>
    <w:p w:rsidR="00AD2BE3" w:rsidRDefault="00AD2BE3" w:rsidP="00AD2BE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- develop initiatives for promoting a fundamental rights culture in EU institutions.</w:t>
      </w:r>
    </w:p>
    <w:p w:rsidR="00B171C4" w:rsidRPr="00E87A2C" w:rsidRDefault="00B171C4" w:rsidP="00AD2BE3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</w:p>
    <w:p w:rsidR="00681B7C" w:rsidRPr="00C0326D" w:rsidRDefault="00681B7C">
      <w:pPr>
        <w:numPr>
          <w:ilvl w:val="12"/>
          <w:numId w:val="0"/>
        </w:numPr>
        <w:jc w:val="both"/>
        <w:rPr>
          <w:lang w:val="en-GB"/>
        </w:rPr>
      </w:pPr>
    </w:p>
    <w:p w:rsidR="00681B7C" w:rsidRPr="00C0326D" w:rsidRDefault="00681B7C">
      <w:pPr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" w:hanging="340"/>
        <w:jc w:val="both"/>
        <w:rPr>
          <w:b/>
          <w:lang w:val="en-GB"/>
        </w:rPr>
      </w:pPr>
      <w:r w:rsidRPr="00C0326D">
        <w:rPr>
          <w:b/>
          <w:lang w:val="en-GB"/>
        </w:rPr>
        <w:t>Main qualifications :</w:t>
      </w:r>
    </w:p>
    <w:p w:rsidR="00E87A2C" w:rsidRPr="00C0326D" w:rsidRDefault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We are looking for a highly motivated colleague with excellent legal reasoning and communication skills (oral and written). You should have, in particular: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a</w:t>
      </w:r>
      <w:proofErr w:type="gramEnd"/>
      <w:r w:rsidRPr="00E87A2C">
        <w:rPr>
          <w:lang w:val="en-GB"/>
        </w:rPr>
        <w:t xml:space="preserve"> solid legal background in EU law or fundamental rights,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capacity</w:t>
      </w:r>
      <w:proofErr w:type="gramEnd"/>
      <w:r w:rsidRPr="00E87A2C">
        <w:rPr>
          <w:lang w:val="en-GB"/>
        </w:rPr>
        <w:t xml:space="preserve"> to convincingly present and negotiate a position to other departments or institutions,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capacity</w:t>
      </w:r>
      <w:proofErr w:type="gramEnd"/>
      <w:r w:rsidRPr="00E87A2C">
        <w:rPr>
          <w:lang w:val="en-GB"/>
        </w:rPr>
        <w:t xml:space="preserve"> to connect specific legal issues with policy orientations,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good</w:t>
      </w:r>
      <w:proofErr w:type="gramEnd"/>
      <w:r w:rsidRPr="00E87A2C">
        <w:rPr>
          <w:lang w:val="en-GB"/>
        </w:rPr>
        <w:t xml:space="preserve"> interdisciplinary analytical skills, 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capacity</w:t>
      </w:r>
      <w:proofErr w:type="gramEnd"/>
      <w:r w:rsidRPr="00E87A2C">
        <w:rPr>
          <w:lang w:val="en-GB"/>
        </w:rPr>
        <w:t xml:space="preserve"> for multitasking and teamwork,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 xml:space="preserve">- </w:t>
      </w:r>
      <w:proofErr w:type="gramStart"/>
      <w:r w:rsidRPr="00E87A2C">
        <w:rPr>
          <w:lang w:val="en-GB"/>
        </w:rPr>
        <w:t>a</w:t>
      </w:r>
      <w:proofErr w:type="gramEnd"/>
      <w:r w:rsidRPr="00E87A2C">
        <w:rPr>
          <w:lang w:val="en-GB"/>
        </w:rPr>
        <w:t xml:space="preserve"> strong service culture.</w:t>
      </w:r>
    </w:p>
    <w:p w:rsidR="00E87A2C" w:rsidRPr="00E87A2C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</w:p>
    <w:p w:rsidR="00681B7C" w:rsidRPr="00C0326D" w:rsidRDefault="00E87A2C" w:rsidP="00E87A2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E87A2C">
        <w:rPr>
          <w:lang w:val="en-GB"/>
        </w:rPr>
        <w:t>Previous experience in dealing with politically sensitive files, the EU legislative process and horizontal EU policies would be an advantage.</w:t>
      </w:r>
    </w:p>
    <w:p w:rsidR="00681B7C" w:rsidRPr="00C0326D" w:rsidRDefault="00681B7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</w:p>
    <w:p w:rsidR="00681B7C" w:rsidRDefault="00681B7C">
      <w:pPr>
        <w:numPr>
          <w:ilvl w:val="12"/>
          <w:numId w:val="0"/>
        </w:numPr>
        <w:jc w:val="both"/>
        <w:rPr>
          <w:lang w:val="en-GB"/>
        </w:rPr>
      </w:pPr>
    </w:p>
    <w:p w:rsidR="00B171C4" w:rsidRDefault="00B171C4">
      <w:pPr>
        <w:numPr>
          <w:ilvl w:val="12"/>
          <w:numId w:val="0"/>
        </w:numPr>
        <w:jc w:val="both"/>
        <w:rPr>
          <w:lang w:val="en-GB"/>
        </w:rPr>
      </w:pPr>
    </w:p>
    <w:p w:rsidR="00681B7C" w:rsidRPr="00C0326D" w:rsidRDefault="00681B7C">
      <w:pPr>
        <w:numPr>
          <w:ilvl w:val="12"/>
          <w:numId w:val="0"/>
        </w:numPr>
        <w:jc w:val="both"/>
        <w:rPr>
          <w:lang w:val="en-GB"/>
        </w:rPr>
        <w:sectPr w:rsidR="00681B7C" w:rsidRPr="00C0326D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:rsidR="00681B7C" w:rsidRPr="00C0326D" w:rsidRDefault="00681B7C">
      <w:pPr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40" w:hanging="340"/>
        <w:jc w:val="both"/>
        <w:rPr>
          <w:b/>
          <w:lang w:val="en-GB"/>
        </w:rPr>
      </w:pPr>
      <w:r w:rsidRPr="00C0326D">
        <w:rPr>
          <w:b/>
          <w:lang w:val="en-GB"/>
        </w:rPr>
        <w:t>Languages:</w:t>
      </w:r>
    </w:p>
    <w:p w:rsidR="00681B7C" w:rsidRDefault="00681B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lang w:val="en-GB"/>
        </w:rPr>
      </w:pPr>
    </w:p>
    <w:p w:rsidR="00E87A2C" w:rsidRPr="00E87A2C" w:rsidRDefault="008A18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>
        <w:rPr>
          <w:lang w:val="en-GB"/>
        </w:rPr>
        <w:t>Fluent E</w:t>
      </w:r>
      <w:r w:rsidR="00A44C13">
        <w:rPr>
          <w:lang w:val="en-GB"/>
        </w:rPr>
        <w:t>nglish</w:t>
      </w:r>
    </w:p>
    <w:p w:rsidR="00681B7C" w:rsidRPr="00AD2BE3" w:rsidRDefault="00AD2B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  <w:r w:rsidRPr="00AD2BE3">
        <w:rPr>
          <w:lang w:val="en-GB"/>
        </w:rPr>
        <w:t>Knowledge of French would be an asset</w:t>
      </w:r>
    </w:p>
    <w:p w:rsidR="00681B7C" w:rsidRPr="00C0326D" w:rsidRDefault="00681B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en-GB"/>
        </w:rPr>
      </w:pPr>
    </w:p>
    <w:sectPr w:rsidR="00681B7C" w:rsidRPr="00C0326D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98" w:rsidRDefault="00980598">
      <w:r>
        <w:separator/>
      </w:r>
    </w:p>
  </w:endnote>
  <w:endnote w:type="continuationSeparator" w:id="0">
    <w:p w:rsidR="00980598" w:rsidRDefault="009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1C" w:rsidRPr="006413E5" w:rsidRDefault="00993A1C">
    <w:pPr>
      <w:pStyle w:val="Footer"/>
      <w:rPr>
        <w:sz w:val="20"/>
        <w:lang w:val="en-GB"/>
      </w:rPr>
    </w:pPr>
    <w:r w:rsidRPr="006413E5">
      <w:rPr>
        <w:sz w:val="20"/>
        <w:lang w:val="en-GB"/>
      </w:rPr>
      <w:t>NB to the attention of candidates</w:t>
    </w:r>
    <w:r w:rsidR="001A3520">
      <w:rPr>
        <w:sz w:val="20"/>
        <w:lang w:val="en-GB"/>
      </w:rPr>
      <w:t xml:space="preserve"> from third </w:t>
    </w:r>
    <w:r w:rsidR="001A3520" w:rsidRPr="006413E5">
      <w:rPr>
        <w:sz w:val="20"/>
        <w:lang w:val="en-GB"/>
      </w:rPr>
      <w:t>countries</w:t>
    </w:r>
    <w:r w:rsidR="001A3520">
      <w:rPr>
        <w:sz w:val="20"/>
        <w:lang w:val="en-GB"/>
      </w:rPr>
      <w:t>: y</w:t>
    </w:r>
    <w:r w:rsidRPr="006413E5">
      <w:rPr>
        <w:sz w:val="20"/>
        <w:lang w:val="en-GB"/>
      </w:rPr>
      <w:t xml:space="preserve">our personal data can be used for necessary checks. More information is available on </w:t>
    </w:r>
    <w:hyperlink r:id="rId1" w:history="1">
      <w:r w:rsidRPr="006413E5">
        <w:rPr>
          <w:rStyle w:val="Hyperlink"/>
          <w:sz w:val="20"/>
          <w:lang w:val="en-GB"/>
        </w:rPr>
        <w:t>http://ec.europa.eu/dgs/personnel_administration/security_en.htm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98" w:rsidRDefault="00980598">
      <w:r>
        <w:separator/>
      </w:r>
    </w:p>
  </w:footnote>
  <w:footnote w:type="continuationSeparator" w:id="0">
    <w:p w:rsidR="00980598" w:rsidRDefault="0098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1C" w:rsidRDefault="00232A8D">
    <w:pPr>
      <w:pStyle w:val="Header"/>
      <w:jc w:val="right"/>
      <w:rPr>
        <w:rFonts w:ascii="Arial" w:hAnsi="Arial"/>
        <w:b/>
        <w:sz w:val="20"/>
      </w:rPr>
    </w:pPr>
    <w:proofErr w:type="spellStart"/>
    <w:r>
      <w:rPr>
        <w:rFonts w:ascii="Arial" w:hAnsi="Arial"/>
        <w:b/>
        <w:sz w:val="20"/>
      </w:rPr>
      <w:t>Form</w:t>
    </w:r>
    <w:proofErr w:type="spellEnd"/>
    <w:r>
      <w:rPr>
        <w:rFonts w:ascii="Arial" w:hAnsi="Arial"/>
        <w:b/>
        <w:sz w:val="20"/>
      </w:rPr>
      <w:t xml:space="preserve"> DG.1</w:t>
    </w:r>
    <w:r w:rsidR="00993A1C">
      <w:rPr>
        <w:rFonts w:ascii="Arial" w:hAnsi="Arial"/>
        <w:b/>
        <w:sz w:val="20"/>
      </w:rPr>
      <w:t xml:space="preserve">   (EN)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95"/>
    <w:multiLevelType w:val="singleLevel"/>
    <w:tmpl w:val="E4F2BD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6072DE2"/>
    <w:multiLevelType w:val="singleLevel"/>
    <w:tmpl w:val="C2A602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C3A223A"/>
    <w:multiLevelType w:val="singleLevel"/>
    <w:tmpl w:val="E4F2BD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453375A"/>
    <w:multiLevelType w:val="singleLevel"/>
    <w:tmpl w:val="929CF12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D0D7DE8"/>
    <w:multiLevelType w:val="singleLevel"/>
    <w:tmpl w:val="E4F2BD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5426EDE"/>
    <w:multiLevelType w:val="singleLevel"/>
    <w:tmpl w:val="0E5086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953D9"/>
    <w:rsid w:val="0011747C"/>
    <w:rsid w:val="001A3520"/>
    <w:rsid w:val="00232A8D"/>
    <w:rsid w:val="00252260"/>
    <w:rsid w:val="002D7863"/>
    <w:rsid w:val="002E4EB6"/>
    <w:rsid w:val="00337E10"/>
    <w:rsid w:val="00351F37"/>
    <w:rsid w:val="00416125"/>
    <w:rsid w:val="00561EFE"/>
    <w:rsid w:val="00583B1C"/>
    <w:rsid w:val="005953D9"/>
    <w:rsid w:val="006413E5"/>
    <w:rsid w:val="00681B7C"/>
    <w:rsid w:val="006A30B0"/>
    <w:rsid w:val="00715ED4"/>
    <w:rsid w:val="007D24AD"/>
    <w:rsid w:val="00866F65"/>
    <w:rsid w:val="008A1849"/>
    <w:rsid w:val="00980598"/>
    <w:rsid w:val="00993A1C"/>
    <w:rsid w:val="009D78C1"/>
    <w:rsid w:val="009E0BE0"/>
    <w:rsid w:val="009E119C"/>
    <w:rsid w:val="00A44C13"/>
    <w:rsid w:val="00A529EC"/>
    <w:rsid w:val="00A94998"/>
    <w:rsid w:val="00AD2BE3"/>
    <w:rsid w:val="00B171C4"/>
    <w:rsid w:val="00BB6934"/>
    <w:rsid w:val="00BE7C52"/>
    <w:rsid w:val="00C0326D"/>
    <w:rsid w:val="00C50FB6"/>
    <w:rsid w:val="00D3704D"/>
    <w:rsid w:val="00DE6ED0"/>
    <w:rsid w:val="00E87A2C"/>
    <w:rsid w:val="00EA3E34"/>
    <w:rsid w:val="00F63FE6"/>
    <w:rsid w:val="00FD4C1E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413E5"/>
    <w:rPr>
      <w:color w:val="0000FF"/>
      <w:u w:val="single"/>
    </w:rPr>
  </w:style>
  <w:style w:type="paragraph" w:styleId="BalloonText">
    <w:name w:val="Balloon Text"/>
    <w:basedOn w:val="Normal"/>
    <w:semiHidden/>
    <w:rsid w:val="001A35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6F65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A529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413E5"/>
    <w:rPr>
      <w:color w:val="0000FF"/>
      <w:u w:val="single"/>
    </w:rPr>
  </w:style>
  <w:style w:type="paragraph" w:styleId="BalloonText">
    <w:name w:val="Balloon Text"/>
    <w:basedOn w:val="Normal"/>
    <w:semiHidden/>
    <w:rsid w:val="001A35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6F65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A529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ivil_service/job/sne/index_e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dgs/personnel_administration/security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DE VACANCE</vt:lpstr>
    </vt:vector>
  </TitlesOfParts>
  <Company>European Commission</Company>
  <LinksUpToDate>false</LinksUpToDate>
  <CharactersWithSpaces>2775</CharactersWithSpaces>
  <SharedDoc>false</SharedDoc>
  <HLinks>
    <vt:vector size="12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http://ec.europa.eu/civil_service/job/sne/index_en.htm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http://ec.europa.eu/dgs/personnel_administration/security_en.htm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VACANCE</dc:title>
  <dc:creator>Di Fabio</dc:creator>
  <cp:lastModifiedBy>FRESE Valeria (JUST)</cp:lastModifiedBy>
  <cp:revision>4</cp:revision>
  <cp:lastPrinted>2012-11-20T13:20:00Z</cp:lastPrinted>
  <dcterms:created xsi:type="dcterms:W3CDTF">2012-11-27T17:12:00Z</dcterms:created>
  <dcterms:modified xsi:type="dcterms:W3CDTF">2012-11-29T10:20:00Z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