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6C7" w:rsidRDefault="00DD713A">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49530EEF6DBD4139AB37A4CA25B3FEEB" style="width:450pt;height:353pt">
            <v:imagedata r:id="rId8" o:title=""/>
          </v:shape>
        </w:pict>
      </w:r>
    </w:p>
    <w:p w:rsidR="00B736C7" w:rsidRDefault="00B736C7">
      <w:pPr>
        <w:rPr>
          <w:noProof/>
        </w:rPr>
        <w:sectPr w:rsidR="00B736C7">
          <w:footerReference w:type="default" r:id="rId9"/>
          <w:pgSz w:w="11907" w:h="16839"/>
          <w:pgMar w:top="1134" w:right="1417" w:bottom="1134" w:left="1417" w:header="709" w:footer="709" w:gutter="0"/>
          <w:pgNumType w:start="1"/>
          <w:cols w:space="720"/>
          <w:docGrid w:linePitch="360"/>
        </w:sectPr>
      </w:pPr>
    </w:p>
    <w:p w:rsidR="00B736C7" w:rsidRDefault="00DD713A">
      <w:pPr>
        <w:pStyle w:val="Exposdesmotifstitre"/>
        <w:rPr>
          <w:noProof/>
        </w:rPr>
      </w:pPr>
      <w:r>
        <w:rPr>
          <w:noProof/>
        </w:rPr>
        <w:lastRenderedPageBreak/>
        <w:t>DŮVODOVÁ ZPRÁVA</w:t>
      </w:r>
    </w:p>
    <w:p w:rsidR="00B736C7" w:rsidRDefault="00DD713A">
      <w:pPr>
        <w:pStyle w:val="ManualHeading1"/>
        <w:rPr>
          <w:noProof/>
        </w:rPr>
      </w:pPr>
      <w:r>
        <w:rPr>
          <w:noProof/>
        </w:rPr>
        <w:t>1.</w:t>
      </w:r>
      <w:r>
        <w:rPr>
          <w:noProof/>
        </w:rPr>
        <w:tab/>
        <w:t>SOUVISLOSTI NÁVRHU</w:t>
      </w:r>
    </w:p>
    <w:p w:rsidR="00B736C7" w:rsidRDefault="00DD713A">
      <w:pPr>
        <w:widowControl w:val="0"/>
        <w:autoSpaceDE w:val="0"/>
        <w:autoSpaceDN w:val="0"/>
        <w:adjustRightInd w:val="0"/>
        <w:rPr>
          <w:rFonts w:eastAsia="Calibri"/>
          <w:noProof/>
        </w:rPr>
      </w:pPr>
      <w:r>
        <w:rPr>
          <w:noProof/>
        </w:rPr>
        <w:t>Nařízení Rady (ES) č. 539/2001</w:t>
      </w:r>
      <w:r>
        <w:rPr>
          <w:rStyle w:val="Znakapoznpodarou"/>
          <w:noProof/>
        </w:rPr>
        <w:footnoteReference w:id="1"/>
      </w:r>
      <w:r>
        <w:rPr>
          <w:noProof/>
        </w:rPr>
        <w:t xml:space="preserve"> stanoví seznam třetích zemí, jejichž státní příslušníci musí mít při překračování vnějších hranic členských států vízum, jakož i seznam třetích zemí, jejichž státní příslušníci jsou od této povinnosti osvobozeni. Nařízení (ES) č. 539/2001 se používá ve vš</w:t>
      </w:r>
      <w:r>
        <w:rPr>
          <w:noProof/>
        </w:rPr>
        <w:t xml:space="preserve">ech členských státech s výjimkou Irska a Spojeného království. </w:t>
      </w:r>
    </w:p>
    <w:p w:rsidR="00B736C7" w:rsidRDefault="00DD713A">
      <w:pPr>
        <w:widowControl w:val="0"/>
        <w:autoSpaceDE w:val="0"/>
        <w:autoSpaceDN w:val="0"/>
        <w:adjustRightInd w:val="0"/>
        <w:rPr>
          <w:rFonts w:eastAsia="Calibri"/>
          <w:noProof/>
        </w:rPr>
      </w:pPr>
      <w:r>
        <w:rPr>
          <w:noProof/>
        </w:rPr>
        <w:t>Nařízení Rady (ES) č. 539/2001 bylo pozměněno nařízením Evropského parlamentu a Rady (EU) č. 509/2014</w:t>
      </w:r>
      <w:r>
        <w:rPr>
          <w:rStyle w:val="Znakapoznpodarou"/>
          <w:noProof/>
        </w:rPr>
        <w:footnoteReference w:id="2"/>
      </w:r>
      <w:r>
        <w:rPr>
          <w:noProof/>
        </w:rPr>
        <w:t>, které převedlo 19 zemí do přílohy II obsahující seznam třetích zemí, jejichž státní přís</w:t>
      </w:r>
      <w:r>
        <w:rPr>
          <w:noProof/>
        </w:rPr>
        <w:t>lušníci jsou osvobozeni od vízové povinnosti. Jde o těchto 19 zemí: Dominika, Grenada, Kiribati, Kolumbie, Marshallovy ostrovy, Mikronésie, Nauru, Palau, Peru, Samoa, Spojené arabské emiráty, Svatá Lucie, Svatý Vincenc a Grenadiny, Šalamounovy ostrovy, Ton</w:t>
      </w:r>
      <w:r>
        <w:rPr>
          <w:noProof/>
        </w:rPr>
        <w:t>ga, Trinidad a Tobago, Tuvalu, Vanuatu a Východní Timor. Položky týkající se těchto zemí v příloze II jsou doplněny o poznámku pod čarou, která stanoví, že „[o]svobození od vízové povinnosti se použije ode dne vstupu v platnost dohody o osvobození od vízov</w:t>
      </w:r>
      <w:r>
        <w:rPr>
          <w:noProof/>
        </w:rPr>
        <w:t>é povinnosti, která má být uzavřena s Evropskou unií“.</w:t>
      </w:r>
    </w:p>
    <w:p w:rsidR="00B736C7" w:rsidRDefault="00DD713A">
      <w:pPr>
        <w:widowControl w:val="0"/>
        <w:autoSpaceDE w:val="0"/>
        <w:autoSpaceDN w:val="0"/>
        <w:adjustRightInd w:val="0"/>
        <w:rPr>
          <w:noProof/>
        </w:rPr>
      </w:pPr>
      <w:r>
        <w:rPr>
          <w:noProof/>
        </w:rPr>
        <w:t>Nařízení (EU) č. 509/2014 bylo přijato dne 20. května 2014 a vstoupilo v platnost dne 9. června 2014. V červenci 2014 předložila Komise Radě doporučení, aby Komisi zmocnila k zahájení jednání o dohodác</w:t>
      </w:r>
      <w:r>
        <w:rPr>
          <w:noProof/>
        </w:rPr>
        <w:t>h o zrušení vízové povinnosti s každou z těchto 17 zemí: Dominika, Grenada, Kiribati, Marshallovy ostrovy, Mikronésie, Nauru, Palau, Samoa, Spojené arabské emiráty, Svatá Lucie, Svatý Vincenc a Grenadiny, Šalamounovy ostrovy, Tonga, Trinidad a Tobago, Tuva</w:t>
      </w:r>
      <w:r>
        <w:rPr>
          <w:noProof/>
        </w:rPr>
        <w:t>lu, Vanuatu a Východní Timor</w:t>
      </w:r>
      <w:r>
        <w:rPr>
          <w:rStyle w:val="Znakapoznpodarou"/>
          <w:noProof/>
        </w:rPr>
        <w:footnoteReference w:id="3"/>
      </w:r>
      <w:r>
        <w:rPr>
          <w:noProof/>
        </w:rPr>
        <w:t>. Dne 9. října 2014 předložila Rada Komisi směrnice pro jednání.</w:t>
      </w:r>
    </w:p>
    <w:p w:rsidR="00B736C7" w:rsidRDefault="00DD713A">
      <w:pPr>
        <w:widowControl w:val="0"/>
        <w:autoSpaceDE w:val="0"/>
        <w:autoSpaceDN w:val="0"/>
        <w:adjustRightInd w:val="0"/>
        <w:rPr>
          <w:rFonts w:eastAsia="Calibri"/>
          <w:noProof/>
        </w:rPr>
      </w:pPr>
      <w:r>
        <w:rPr>
          <w:noProof/>
        </w:rPr>
        <w:t>První dohody o zrušení vízové povinnosti byly podepsány dne 6. května 2015 (se Spojenými arabskými emiráty), dne 26. května 2015 (s Východním Timorem) a dne 28. k</w:t>
      </w:r>
      <w:r>
        <w:rPr>
          <w:noProof/>
        </w:rPr>
        <w:t>větna 2015 (s Dominikou, Grenadou, Samoou, Svatou Lucií, Svatým Vincencem a Grenadinami, Trinidadem a Tobagem a Vanuatu) a provádějí se prozatímně ode dne jejich podpisu do dne jejich vstupu v platnost. Rada schválila podepsání druhé řady dohod o zrušení v</w:t>
      </w:r>
      <w:r>
        <w:rPr>
          <w:noProof/>
        </w:rPr>
        <w:t>ízové povinnosti, a to s Tongou (podepsána dne 20. listopadu 2015), Kolumbií (podepsána dne 2. prosince 2015), Kiribati (datum podpisu bude stanoveno) a Palau (podepsána dne 7. prosince 2015). Tyto čtyři dohody se provádějí prozatímně ode dne následujícího</w:t>
      </w:r>
      <w:r>
        <w:rPr>
          <w:noProof/>
        </w:rPr>
        <w:t xml:space="preserve"> po dni jejich podpisu do dne jejich vstupu v platnost.</w:t>
      </w:r>
    </w:p>
    <w:p w:rsidR="00B736C7" w:rsidRDefault="00DD713A">
      <w:pPr>
        <w:widowControl w:val="0"/>
        <w:autoSpaceDE w:val="0"/>
        <w:autoSpaceDN w:val="0"/>
        <w:adjustRightInd w:val="0"/>
        <w:rPr>
          <w:rFonts w:eastAsia="Calibri"/>
          <w:noProof/>
        </w:rPr>
      </w:pPr>
      <w:r>
        <w:rPr>
          <w:noProof/>
        </w:rPr>
        <w:t>Jednání se Šalamounovými ostrovy bylo zahájeno dne 19. listopadu 2014. Během jednání bylo přezkoumáno celé znění a při dalších výměnách bylo dosaženo dohody o všech aspektech. Dohoda byla hlavními vyj</w:t>
      </w:r>
      <w:r>
        <w:rPr>
          <w:noProof/>
        </w:rPr>
        <w:t>ednavači parafována v Bruselu dne 13. listopadu 2015. Členské státy byly informovány na zasedání Pracovní skupiny Rady pro víza dne 7. prosince 2015.</w:t>
      </w:r>
    </w:p>
    <w:p w:rsidR="00B736C7" w:rsidRDefault="00DD713A">
      <w:pPr>
        <w:pStyle w:val="ManualHeading1"/>
        <w:rPr>
          <w:noProof/>
        </w:rPr>
      </w:pPr>
      <w:r>
        <w:rPr>
          <w:noProof/>
        </w:rPr>
        <w:lastRenderedPageBreak/>
        <w:t>2.</w:t>
      </w:r>
      <w:r>
        <w:rPr>
          <w:noProof/>
        </w:rPr>
        <w:tab/>
        <w:t>PRÁVNÍ ZÁKLAD</w:t>
      </w:r>
    </w:p>
    <w:p w:rsidR="00B736C7" w:rsidRDefault="00DD713A">
      <w:pPr>
        <w:rPr>
          <w:rFonts w:eastAsia="Calibri"/>
          <w:noProof/>
        </w:rPr>
      </w:pPr>
      <w:r>
        <w:rPr>
          <w:noProof/>
        </w:rPr>
        <w:t>Na straně Unie tvoří právní základ dohody čl. 77 odst. 2 písm. a) Smlouvy o fungování Evr</w:t>
      </w:r>
      <w:r>
        <w:rPr>
          <w:noProof/>
        </w:rPr>
        <w:t>opské unie ve spojení s článkem 218 této smlouvy.</w:t>
      </w:r>
    </w:p>
    <w:p w:rsidR="00B736C7" w:rsidRDefault="00DD713A">
      <w:pPr>
        <w:autoSpaceDE w:val="0"/>
        <w:autoSpaceDN w:val="0"/>
        <w:adjustRightInd w:val="0"/>
        <w:rPr>
          <w:rFonts w:eastAsia="Calibri"/>
          <w:noProof/>
        </w:rPr>
      </w:pPr>
      <w:r>
        <w:rPr>
          <w:noProof/>
        </w:rPr>
        <w:t>Připojený návrh představuje právní nástroj pro uzavření dohody. Rada rozhodne kvalifikovanou většinou po podpisu dohody jménem Unie osobou jmenovanou předsednictvím Rady a po obdržení souhlasu Evropského pa</w:t>
      </w:r>
      <w:r>
        <w:rPr>
          <w:noProof/>
        </w:rPr>
        <w:t xml:space="preserve">rlamentu v souladu s čl. 218 odst. 6 druhým pododstavcem písm. a) Smlouvy o fungování Evropské unie. </w:t>
      </w:r>
    </w:p>
    <w:p w:rsidR="00B736C7" w:rsidRDefault="00DD713A">
      <w:pPr>
        <w:pStyle w:val="ManualHeading1"/>
        <w:rPr>
          <w:noProof/>
        </w:rPr>
      </w:pPr>
      <w:r>
        <w:rPr>
          <w:noProof/>
        </w:rPr>
        <w:t>3.</w:t>
      </w:r>
      <w:r>
        <w:rPr>
          <w:noProof/>
        </w:rPr>
        <w:tab/>
        <w:t>VÝSLEDKY JEDNÁNÍ</w:t>
      </w:r>
    </w:p>
    <w:p w:rsidR="00B736C7" w:rsidRDefault="00DD713A">
      <w:pPr>
        <w:autoSpaceDE w:val="0"/>
        <w:autoSpaceDN w:val="0"/>
        <w:adjustRightInd w:val="0"/>
        <w:rPr>
          <w:noProof/>
        </w:rPr>
      </w:pPr>
      <w:r>
        <w:rPr>
          <w:noProof/>
        </w:rPr>
        <w:t>Komise soudí, že bylo dosaženo cílů, které stanovila Rada ve svých směrnicích pro jednání, a že návrh dohody o zrušení vízové povinnos</w:t>
      </w:r>
      <w:r>
        <w:rPr>
          <w:noProof/>
        </w:rPr>
        <w:t>ti je pro Unii přijatelný.</w:t>
      </w:r>
    </w:p>
    <w:p w:rsidR="00B736C7" w:rsidRDefault="00DD713A">
      <w:pPr>
        <w:autoSpaceDE w:val="0"/>
        <w:autoSpaceDN w:val="0"/>
        <w:adjustRightInd w:val="0"/>
        <w:rPr>
          <w:noProof/>
        </w:rPr>
      </w:pPr>
      <w:r>
        <w:rPr>
          <w:noProof/>
        </w:rPr>
        <w:t>Konečný obsah dohody lze shrnout takto:</w:t>
      </w:r>
    </w:p>
    <w:p w:rsidR="00B736C7" w:rsidRDefault="00DD713A">
      <w:pPr>
        <w:rPr>
          <w:noProof/>
        </w:rPr>
      </w:pPr>
      <w:r>
        <w:rPr>
          <w:noProof/>
          <w:u w:val="single"/>
        </w:rPr>
        <w:t>Účel</w:t>
      </w:r>
    </w:p>
    <w:p w:rsidR="00B736C7" w:rsidRDefault="00DD713A">
      <w:pPr>
        <w:rPr>
          <w:noProof/>
        </w:rPr>
      </w:pPr>
      <w:r>
        <w:rPr>
          <w:noProof/>
        </w:rPr>
        <w:t>Dohodou se zavádí režim bezvízového styku pro občany Evropské unie a občany Šalamounových ostrovů, kteří mohou pobývat na území druhé smluvní strany po dobu nejvýše 90 dnů během jakého</w:t>
      </w:r>
      <w:r>
        <w:rPr>
          <w:noProof/>
        </w:rPr>
        <w:t xml:space="preserve">koli období 180 dnů. </w:t>
      </w:r>
    </w:p>
    <w:p w:rsidR="00B736C7" w:rsidRDefault="00DD713A">
      <w:pPr>
        <w:rPr>
          <w:noProof/>
        </w:rPr>
      </w:pPr>
      <w:r>
        <w:rPr>
          <w:noProof/>
        </w:rPr>
        <w:t xml:space="preserve">Aby bylo zaručeno rovné zacházení pro všechny občany EU, bylo do dohody zahrnuto ustanovení, že Šalamounovy ostrovy mohou pozastavit či ukončit provádění dohody pouze ve vztahu ke všem členským státům Evropské unie a že Unie může </w:t>
      </w:r>
      <w:r>
        <w:rPr>
          <w:noProof/>
        </w:rPr>
        <w:t>pozastavit či ukončit provádění dohody jen ve vztahu ke všem svým členským státům.</w:t>
      </w:r>
    </w:p>
    <w:p w:rsidR="00B736C7" w:rsidRDefault="00DD713A">
      <w:pPr>
        <w:autoSpaceDE w:val="0"/>
        <w:autoSpaceDN w:val="0"/>
        <w:adjustRightInd w:val="0"/>
        <w:rPr>
          <w:noProof/>
        </w:rPr>
      </w:pPr>
      <w:r>
        <w:rPr>
          <w:noProof/>
        </w:rPr>
        <w:t xml:space="preserve">Zvláštní situace Spojeného království a Irska je zohledněna v preambuli. </w:t>
      </w:r>
    </w:p>
    <w:p w:rsidR="00B736C7" w:rsidRDefault="00DD713A">
      <w:pPr>
        <w:rPr>
          <w:noProof/>
        </w:rPr>
      </w:pPr>
      <w:r>
        <w:rPr>
          <w:noProof/>
          <w:u w:val="single"/>
        </w:rPr>
        <w:t>Oblast působnosti</w:t>
      </w:r>
    </w:p>
    <w:p w:rsidR="00B736C7" w:rsidRDefault="00DD713A">
      <w:pPr>
        <w:rPr>
          <w:noProof/>
        </w:rPr>
      </w:pPr>
      <w:r>
        <w:rPr>
          <w:noProof/>
        </w:rPr>
        <w:t>Zrušení vízové povinnosti se vztahuje na všechny kategorie osob (držitele běžných</w:t>
      </w:r>
      <w:r>
        <w:rPr>
          <w:noProof/>
        </w:rPr>
        <w:t xml:space="preserve"> cestovních, diplomatických, služebních/úředních a zvláštních pasů) cestujících za jakýmkoli účelem, s výjimkou osob cestujících za účelem vykonávání výdělečné činnosti. Pokud jde o tuto kategorii osob, jednotlivé členské státy i Šalamounovy ostrovy mají n</w:t>
      </w:r>
      <w:r>
        <w:rPr>
          <w:noProof/>
        </w:rPr>
        <w:t>adále možnost uložit vízovou povinnost občanům druhé strany v souladu s použitelnými právními předpisy Unie nebo vnitrostátními právními předpisy. Aby bylo zajištěno harmonizované provádění dohody, připojuje se k dohodě společné prohlášení o výkladu katego</w:t>
      </w:r>
      <w:r>
        <w:rPr>
          <w:noProof/>
        </w:rPr>
        <w:t>rie „osoby cestující za účelem vykonávání výdělečné činnosti“.</w:t>
      </w:r>
    </w:p>
    <w:p w:rsidR="00B736C7" w:rsidRDefault="00DD713A">
      <w:pPr>
        <w:rPr>
          <w:noProof/>
        </w:rPr>
      </w:pPr>
      <w:r>
        <w:rPr>
          <w:noProof/>
          <w:u w:val="single"/>
        </w:rPr>
        <w:t>Délka pobytu</w:t>
      </w:r>
    </w:p>
    <w:p w:rsidR="00B736C7" w:rsidRDefault="00DD713A">
      <w:pPr>
        <w:rPr>
          <w:noProof/>
        </w:rPr>
      </w:pPr>
      <w:r>
        <w:rPr>
          <w:noProof/>
        </w:rPr>
        <w:t>Dohodou se zavádí režim bezvízového styku pro občany Evropské unie a občany Šalamounových ostrovů, kteří mohou pobývat na území druhé smluvní strany po dobu nejvýše 90 dnů během ja</w:t>
      </w:r>
      <w:r>
        <w:rPr>
          <w:noProof/>
        </w:rPr>
        <w:t xml:space="preserve">kéhokoli období 180 dnů. K dohodě je připojeno společné prohlášení o výkladu této doby 90 dnů během jakéhokoli období 180 dnů. </w:t>
      </w:r>
    </w:p>
    <w:p w:rsidR="00B736C7" w:rsidRDefault="00DD713A">
      <w:pPr>
        <w:rPr>
          <w:noProof/>
        </w:rPr>
      </w:pPr>
      <w:r>
        <w:rPr>
          <w:noProof/>
        </w:rPr>
        <w:t xml:space="preserve">Dohoda zohledňuje situaci členských států, které dosud neuplatňují schengenské </w:t>
      </w:r>
      <w:r>
        <w:rPr>
          <w:i/>
          <w:noProof/>
        </w:rPr>
        <w:t>acquis</w:t>
      </w:r>
      <w:r>
        <w:rPr>
          <w:noProof/>
        </w:rPr>
        <w:t xml:space="preserve"> v plném rozsahu. Dokud tyto státy nebudou </w:t>
      </w:r>
      <w:r>
        <w:rPr>
          <w:noProof/>
        </w:rPr>
        <w:t>součástí schengenského prostoru bez vnitřních hranic, dává zrušení vízové povinnosti státním příslušníkům Šalamounových ostrovů právo pobývat na území každého z uvedených členských států (v současnosti Bulharska, Chorvatska, Kypru a Rumunska) po dobu 90 dn</w:t>
      </w:r>
      <w:r>
        <w:rPr>
          <w:noProof/>
        </w:rPr>
        <w:t>ů během jakéhokoli období 180 dnů bez ohledu na délku pobytu vypočtenou pro celý schengenský prostor.</w:t>
      </w:r>
    </w:p>
    <w:p w:rsidR="00B736C7" w:rsidRDefault="00DD713A">
      <w:pPr>
        <w:rPr>
          <w:noProof/>
        </w:rPr>
      </w:pPr>
      <w:r>
        <w:rPr>
          <w:noProof/>
          <w:u w:val="single"/>
        </w:rPr>
        <w:t>Územní působnost</w:t>
      </w:r>
    </w:p>
    <w:p w:rsidR="00B736C7" w:rsidRDefault="00DD713A">
      <w:pPr>
        <w:rPr>
          <w:noProof/>
        </w:rPr>
      </w:pPr>
      <w:r>
        <w:rPr>
          <w:noProof/>
        </w:rPr>
        <w:t>Dohoda obsahuje ustanovení o územní působnosti: státní příslušníci Šalamounových ostrovů, kteří cestují do Francie a Nizozemska, mají prá</w:t>
      </w:r>
      <w:r>
        <w:rPr>
          <w:noProof/>
        </w:rPr>
        <w:t>vo pobývat bez víza pouze na evropském území těchto členských států.</w:t>
      </w:r>
    </w:p>
    <w:p w:rsidR="00B736C7" w:rsidRDefault="00DD713A">
      <w:pPr>
        <w:autoSpaceDE w:val="0"/>
        <w:autoSpaceDN w:val="0"/>
        <w:adjustRightInd w:val="0"/>
        <w:rPr>
          <w:noProof/>
          <w:u w:val="single"/>
        </w:rPr>
      </w:pPr>
      <w:r>
        <w:rPr>
          <w:noProof/>
          <w:u w:val="single"/>
        </w:rPr>
        <w:t>Prohlášení</w:t>
      </w:r>
    </w:p>
    <w:p w:rsidR="00B736C7" w:rsidRDefault="00DD713A">
      <w:pPr>
        <w:autoSpaceDE w:val="0"/>
        <w:autoSpaceDN w:val="0"/>
        <w:adjustRightInd w:val="0"/>
        <w:rPr>
          <w:noProof/>
        </w:rPr>
      </w:pPr>
      <w:r>
        <w:rPr>
          <w:noProof/>
        </w:rPr>
        <w:t>Kromě společných prohlášení uvedených výše jsou k dohodě připojena dvě další společná prohlášení:</w:t>
      </w:r>
    </w:p>
    <w:p w:rsidR="00B736C7" w:rsidRDefault="00DD713A">
      <w:pPr>
        <w:pStyle w:val="ListDash"/>
        <w:rPr>
          <w:noProof/>
        </w:rPr>
      </w:pPr>
      <w:r>
        <w:rPr>
          <w:noProof/>
        </w:rPr>
        <w:t xml:space="preserve">o přidružení Norska, Islandu, Švýcarska a Lichtenštejnska k provádění, uplatňování a rozvoji schengenského </w:t>
      </w:r>
      <w:r>
        <w:rPr>
          <w:i/>
          <w:noProof/>
        </w:rPr>
        <w:t>acquis</w:t>
      </w:r>
      <w:r>
        <w:rPr>
          <w:noProof/>
        </w:rPr>
        <w:t>,</w:t>
      </w:r>
    </w:p>
    <w:p w:rsidR="00B736C7" w:rsidRDefault="00DD713A">
      <w:pPr>
        <w:pStyle w:val="ListDash"/>
        <w:rPr>
          <w:rFonts w:eastAsia="Arial Unicode MS"/>
          <w:noProof/>
        </w:rPr>
      </w:pPr>
      <w:r>
        <w:rPr>
          <w:noProof/>
        </w:rPr>
        <w:t>o úplném informování občanů o obsahu dohody o zrušení vízové povinnosti a jejích důsledcích a o souvisejících otázkách, jako jsou podmínky vs</w:t>
      </w:r>
      <w:r>
        <w:rPr>
          <w:noProof/>
        </w:rPr>
        <w:t xml:space="preserve">tupu. </w:t>
      </w:r>
    </w:p>
    <w:p w:rsidR="00B736C7" w:rsidRDefault="00DD713A">
      <w:pPr>
        <w:pStyle w:val="ManualHeading1"/>
        <w:rPr>
          <w:noProof/>
        </w:rPr>
      </w:pPr>
      <w:r>
        <w:rPr>
          <w:noProof/>
        </w:rPr>
        <w:t>4.</w:t>
      </w:r>
      <w:r>
        <w:rPr>
          <w:noProof/>
        </w:rPr>
        <w:tab/>
        <w:t>ZÁVĚR</w:t>
      </w:r>
    </w:p>
    <w:p w:rsidR="00B736C7" w:rsidRDefault="00DD713A">
      <w:pPr>
        <w:rPr>
          <w:noProof/>
        </w:rPr>
      </w:pPr>
      <w:r>
        <w:rPr>
          <w:noProof/>
        </w:rPr>
        <w:t>S ohledem na výše uvedené výsledky Komise navrhuje, aby Rada po obdržení souhlasu Evropského parlamentu schválila dohodu mezi Evropskou unií a Šalamounovými ostrovy o zrušení vízové povinnosti pro krátkodobé pobyty.</w:t>
      </w:r>
    </w:p>
    <w:p w:rsidR="00B736C7" w:rsidRDefault="00B736C7">
      <w:pPr>
        <w:rPr>
          <w:noProof/>
        </w:rPr>
        <w:sectPr w:rsidR="00B736C7">
          <w:footerReference w:type="default" r:id="rId10"/>
          <w:footerReference w:type="first" r:id="rId11"/>
          <w:pgSz w:w="11907" w:h="16839"/>
          <w:pgMar w:top="1134" w:right="1417" w:bottom="1134" w:left="1417" w:header="709" w:footer="709" w:gutter="0"/>
          <w:cols w:space="708"/>
          <w:docGrid w:linePitch="360"/>
        </w:sectPr>
      </w:pPr>
    </w:p>
    <w:p w:rsidR="00B736C7" w:rsidRDefault="00DD713A">
      <w:pPr>
        <w:pStyle w:val="Rfrenceinterinstitutionnelle"/>
        <w:rPr>
          <w:noProof/>
        </w:rPr>
      </w:pPr>
      <w:r>
        <w:rPr>
          <w:noProof/>
        </w:rPr>
        <w:t>2016/0096 (NLE)</w:t>
      </w:r>
    </w:p>
    <w:p w:rsidR="00B736C7" w:rsidRDefault="00DD713A">
      <w:pPr>
        <w:pStyle w:val="Statut"/>
        <w:rPr>
          <w:noProof/>
        </w:rPr>
      </w:pPr>
      <w:r>
        <w:rPr>
          <w:noProof/>
        </w:rPr>
        <w:t>Návrh</w:t>
      </w:r>
    </w:p>
    <w:p w:rsidR="00B736C7" w:rsidRDefault="00DD713A">
      <w:pPr>
        <w:pStyle w:val="Typedudocument"/>
        <w:rPr>
          <w:noProof/>
        </w:rPr>
      </w:pPr>
      <w:r>
        <w:rPr>
          <w:noProof/>
        </w:rPr>
        <w:t>ROZHODNUTÍ RADY</w:t>
      </w:r>
    </w:p>
    <w:p w:rsidR="00B736C7" w:rsidRDefault="00DD713A">
      <w:pPr>
        <w:pStyle w:val="Titreobjet"/>
        <w:rPr>
          <w:noProof/>
        </w:rPr>
      </w:pPr>
      <w:r>
        <w:rPr>
          <w:noProof/>
        </w:rPr>
        <w:t>o uzavření Dohody mezi Evropským společenstvím a Šalamounovými ostrovy o zrušení vízové povinnosti pro krátkodobé pobyty</w:t>
      </w:r>
    </w:p>
    <w:p w:rsidR="00B736C7" w:rsidRDefault="00DD713A">
      <w:pPr>
        <w:pStyle w:val="Institutionquiagit"/>
        <w:rPr>
          <w:noProof/>
        </w:rPr>
      </w:pPr>
      <w:r>
        <w:rPr>
          <w:noProof/>
        </w:rPr>
        <w:t>RADA EVROPSKÉ UNIE,</w:t>
      </w:r>
    </w:p>
    <w:p w:rsidR="00B736C7" w:rsidRDefault="00DD713A">
      <w:pPr>
        <w:rPr>
          <w:noProof/>
        </w:rPr>
      </w:pPr>
      <w:r>
        <w:rPr>
          <w:noProof/>
        </w:rPr>
        <w:t xml:space="preserve">s </w:t>
      </w:r>
      <w:r>
        <w:rPr>
          <w:noProof/>
        </w:rPr>
        <w:t>ohledem na Smlouvu o fungování Evropské unie, a zejména na čl. 77 odst. 2 písm. a) ve spojení s čl. 218 odst. 6 druhým pododstavcem písm. a) bodem v) této smlouvy,</w:t>
      </w:r>
    </w:p>
    <w:p w:rsidR="00B736C7" w:rsidRDefault="00DD713A">
      <w:pPr>
        <w:rPr>
          <w:noProof/>
        </w:rPr>
      </w:pPr>
      <w:r>
        <w:rPr>
          <w:noProof/>
        </w:rPr>
        <w:t>s ohledem na návrh Evropské komise,</w:t>
      </w:r>
    </w:p>
    <w:p w:rsidR="00B736C7" w:rsidRDefault="00DD713A">
      <w:pPr>
        <w:rPr>
          <w:noProof/>
        </w:rPr>
      </w:pPr>
      <w:r>
        <w:rPr>
          <w:noProof/>
        </w:rPr>
        <w:t>s ohledem na souhlas Evropského parlamentu</w:t>
      </w:r>
      <w:r>
        <w:rPr>
          <w:rStyle w:val="Znakapoznpodarou"/>
          <w:noProof/>
        </w:rPr>
        <w:footnoteReference w:id="4"/>
      </w:r>
      <w:r>
        <w:rPr>
          <w:noProof/>
        </w:rPr>
        <w:t>,</w:t>
      </w:r>
    </w:p>
    <w:p w:rsidR="00B736C7" w:rsidRDefault="00DD713A">
      <w:pPr>
        <w:rPr>
          <w:noProof/>
        </w:rPr>
      </w:pPr>
      <w:r>
        <w:rPr>
          <w:noProof/>
        </w:rPr>
        <w:t xml:space="preserve">vzhledem k </w:t>
      </w:r>
      <w:r>
        <w:rPr>
          <w:noProof/>
        </w:rPr>
        <w:t>těmto důvodům:</w:t>
      </w:r>
    </w:p>
    <w:p w:rsidR="00B736C7" w:rsidRDefault="00DD713A">
      <w:pPr>
        <w:pStyle w:val="ManualConsidrant"/>
        <w:rPr>
          <w:noProof/>
        </w:rPr>
      </w:pPr>
      <w:r>
        <w:t>(1)</w:t>
      </w:r>
      <w:r>
        <w:tab/>
      </w:r>
      <w:r>
        <w:rPr>
          <w:noProof/>
        </w:rPr>
        <w:t>Komise sjednala jménem Evropské unie dohodu s Šalamounovými ostrovy o zrušení vízové povinnosti pro krátkodobé pobyty (dále jen „dohoda“).</w:t>
      </w:r>
    </w:p>
    <w:p w:rsidR="00B736C7" w:rsidRDefault="00DD713A">
      <w:pPr>
        <w:pStyle w:val="ManualConsidrant"/>
        <w:rPr>
          <w:noProof/>
        </w:rPr>
      </w:pPr>
      <w:r>
        <w:t>(2)</w:t>
      </w:r>
      <w:r>
        <w:tab/>
      </w:r>
      <w:r>
        <w:rPr>
          <w:noProof/>
        </w:rPr>
        <w:t>Tato dohoda byla v souladu s rozhodnutím Rady (EU) 2015/[…] podepsána a je prozatímně prováděn</w:t>
      </w:r>
      <w:r>
        <w:rPr>
          <w:noProof/>
        </w:rPr>
        <w:t>a ode dne […].</w:t>
      </w:r>
    </w:p>
    <w:p w:rsidR="00B736C7" w:rsidRDefault="00DD713A">
      <w:pPr>
        <w:pStyle w:val="ManualConsidrant"/>
        <w:rPr>
          <w:noProof/>
        </w:rPr>
      </w:pPr>
      <w:r>
        <w:t>(3)</w:t>
      </w:r>
      <w:r>
        <w:tab/>
      </w:r>
      <w:r>
        <w:rPr>
          <w:noProof/>
        </w:rPr>
        <w:t>Dohodou se zřizuje smíšený výbor odborníků pověřený správou dohody. Unii by měla v tomto smíšeném výboru zastupovat Komise, které by měli být nápomocni zástupci členských států.</w:t>
      </w:r>
    </w:p>
    <w:p w:rsidR="00B736C7" w:rsidRDefault="00DD713A">
      <w:pPr>
        <w:pStyle w:val="ManualConsidrant"/>
        <w:rPr>
          <w:noProof/>
        </w:rPr>
      </w:pPr>
      <w:r>
        <w:t>(4)</w:t>
      </w:r>
      <w:r>
        <w:tab/>
      </w:r>
      <w:r>
        <w:rPr>
          <w:noProof/>
        </w:rPr>
        <w:t xml:space="preserve">Toto rozhodnutí rozvíjí ta ustanovení schengenského </w:t>
      </w:r>
      <w:r>
        <w:rPr>
          <w:i/>
          <w:noProof/>
        </w:rPr>
        <w:t>acq</w:t>
      </w:r>
      <w:r>
        <w:rPr>
          <w:i/>
          <w:noProof/>
        </w:rPr>
        <w:t>uis</w:t>
      </w:r>
      <w:r>
        <w:rPr>
          <w:noProof/>
        </w:rPr>
        <w:t>, kterých se neúčastní Spojené království v souladu s rozhodnutím Rady 2000/365/ES</w:t>
      </w:r>
      <w:r>
        <w:rPr>
          <w:rStyle w:val="Znakapoznpodarou"/>
          <w:noProof/>
        </w:rPr>
        <w:footnoteReference w:id="5"/>
      </w:r>
      <w:r>
        <w:rPr>
          <w:noProof/>
        </w:rPr>
        <w:t>; Spojené království se tedy nepodílí na jeho přijímání a toto rozhodnutí pro ně není závazné ani použitelné.</w:t>
      </w:r>
    </w:p>
    <w:p w:rsidR="00B736C7" w:rsidRDefault="00DD713A">
      <w:pPr>
        <w:pStyle w:val="ManualConsidrant"/>
        <w:rPr>
          <w:noProof/>
        </w:rPr>
      </w:pPr>
      <w:r>
        <w:t>(5)</w:t>
      </w:r>
      <w:r>
        <w:tab/>
      </w:r>
      <w:r>
        <w:rPr>
          <w:noProof/>
        </w:rPr>
        <w:t xml:space="preserve">Toto rozhodnutí rozvíjí ta ustanovení schengenského </w:t>
      </w:r>
      <w:r>
        <w:rPr>
          <w:i/>
          <w:noProof/>
        </w:rPr>
        <w:t>acqu</w:t>
      </w:r>
      <w:r>
        <w:rPr>
          <w:i/>
          <w:noProof/>
        </w:rPr>
        <w:t>is</w:t>
      </w:r>
      <w:r>
        <w:rPr>
          <w:noProof/>
        </w:rPr>
        <w:t>, kterých se neúčastní Irsko v souladu s rozhodnutím Rady 2002/192/ES</w:t>
      </w:r>
      <w:r>
        <w:rPr>
          <w:rStyle w:val="Znakapoznpodarou"/>
          <w:noProof/>
        </w:rPr>
        <w:footnoteReference w:id="6"/>
      </w:r>
      <w:r>
        <w:rPr>
          <w:noProof/>
        </w:rPr>
        <w:t>; Irsko se tedy nepodílí na jeho přijímání a toto rozhodnutí pro ně není závazné ani použitelné.</w:t>
      </w:r>
    </w:p>
    <w:p w:rsidR="00B736C7" w:rsidRDefault="00DD713A">
      <w:pPr>
        <w:pStyle w:val="ManualConsidrant"/>
        <w:rPr>
          <w:noProof/>
        </w:rPr>
      </w:pPr>
      <w:r>
        <w:t>(6)</w:t>
      </w:r>
      <w:r>
        <w:tab/>
      </w:r>
      <w:r>
        <w:rPr>
          <w:noProof/>
        </w:rPr>
        <w:t>Dohoda by měla být schválena,</w:t>
      </w:r>
    </w:p>
    <w:p w:rsidR="00B736C7" w:rsidRDefault="00DD713A">
      <w:pPr>
        <w:pStyle w:val="Formuledadoption"/>
        <w:rPr>
          <w:noProof/>
        </w:rPr>
      </w:pPr>
      <w:r>
        <w:rPr>
          <w:noProof/>
        </w:rPr>
        <w:t xml:space="preserve">PŘIJALA TOTO ROZHODNUTÍ: </w:t>
      </w:r>
    </w:p>
    <w:p w:rsidR="00B736C7" w:rsidRDefault="00DD713A">
      <w:pPr>
        <w:pStyle w:val="Titrearticle"/>
        <w:rPr>
          <w:noProof/>
        </w:rPr>
      </w:pPr>
      <w:r>
        <w:rPr>
          <w:noProof/>
        </w:rPr>
        <w:t>Článek 1</w:t>
      </w:r>
    </w:p>
    <w:p w:rsidR="00B736C7" w:rsidRDefault="00DD713A">
      <w:pPr>
        <w:rPr>
          <w:noProof/>
        </w:rPr>
      </w:pPr>
      <w:r>
        <w:rPr>
          <w:noProof/>
        </w:rPr>
        <w:t xml:space="preserve">Dohoda mezi </w:t>
      </w:r>
      <w:r>
        <w:rPr>
          <w:noProof/>
        </w:rPr>
        <w:t>Evropskou unií a Šalamounovými ostrovy o zrušení vízové povinnosti pro krátkodobé pobyty se schvaluje jménem Unie.</w:t>
      </w:r>
    </w:p>
    <w:p w:rsidR="00B736C7" w:rsidRDefault="00DD713A">
      <w:pPr>
        <w:pStyle w:val="Titrearticle"/>
        <w:rPr>
          <w:noProof/>
        </w:rPr>
      </w:pPr>
      <w:r>
        <w:rPr>
          <w:noProof/>
        </w:rPr>
        <w:t>Článek 2</w:t>
      </w:r>
    </w:p>
    <w:p w:rsidR="00B736C7" w:rsidRDefault="00DD713A">
      <w:pPr>
        <w:rPr>
          <w:noProof/>
        </w:rPr>
      </w:pPr>
      <w:r>
        <w:rPr>
          <w:noProof/>
        </w:rPr>
        <w:t>Předseda Rady učiní jménem Unie oznámení stanovené v čl. 8 odst. 1 dohody</w:t>
      </w:r>
      <w:r>
        <w:rPr>
          <w:rStyle w:val="Znakapoznpodarou"/>
          <w:noProof/>
        </w:rPr>
        <w:footnoteReference w:id="7"/>
      </w:r>
      <w:r>
        <w:rPr>
          <w:noProof/>
        </w:rPr>
        <w:t>.</w:t>
      </w:r>
    </w:p>
    <w:p w:rsidR="00B736C7" w:rsidRDefault="00DD713A">
      <w:pPr>
        <w:pStyle w:val="Titrearticle"/>
        <w:rPr>
          <w:noProof/>
        </w:rPr>
      </w:pPr>
      <w:r>
        <w:rPr>
          <w:noProof/>
        </w:rPr>
        <w:t>Článek 3</w:t>
      </w:r>
    </w:p>
    <w:p w:rsidR="00B736C7" w:rsidRDefault="00DD713A">
      <w:pPr>
        <w:rPr>
          <w:noProof/>
        </w:rPr>
      </w:pPr>
      <w:r>
        <w:rPr>
          <w:noProof/>
        </w:rPr>
        <w:t>Komise, které jsou nápomocni zástupci členských</w:t>
      </w:r>
      <w:r>
        <w:rPr>
          <w:noProof/>
        </w:rPr>
        <w:t xml:space="preserve"> států, zastupuje Unii ve smíšeném výboru odborníků zřízeném podle článku 6 dohody.</w:t>
      </w:r>
    </w:p>
    <w:p w:rsidR="00B736C7" w:rsidRDefault="00DD713A">
      <w:pPr>
        <w:pStyle w:val="Titrearticle"/>
        <w:rPr>
          <w:noProof/>
        </w:rPr>
      </w:pPr>
      <w:r>
        <w:rPr>
          <w:noProof/>
        </w:rPr>
        <w:t>Článek 4</w:t>
      </w:r>
    </w:p>
    <w:p w:rsidR="00B736C7" w:rsidRDefault="00DD713A">
      <w:pPr>
        <w:keepLines/>
        <w:rPr>
          <w:noProof/>
        </w:rPr>
      </w:pPr>
      <w:r>
        <w:rPr>
          <w:noProof/>
        </w:rPr>
        <w:t>Toto rozhodnutí vstupuje v platnost dnem přijetí.</w:t>
      </w:r>
    </w:p>
    <w:p w:rsidR="00B736C7" w:rsidRDefault="00DD713A">
      <w:pPr>
        <w:pStyle w:val="Fait"/>
        <w:rPr>
          <w:noProof/>
        </w:rPr>
      </w:pPr>
      <w:r>
        <w:rPr>
          <w:noProof/>
        </w:rPr>
        <w:t>V Bruselu dne</w:t>
      </w:r>
    </w:p>
    <w:p w:rsidR="00B736C7" w:rsidRDefault="00DD713A">
      <w:pPr>
        <w:pStyle w:val="Institutionquisigne"/>
        <w:rPr>
          <w:noProof/>
        </w:rPr>
      </w:pPr>
      <w:r>
        <w:rPr>
          <w:noProof/>
        </w:rPr>
        <w:tab/>
        <w:t>Za Radu</w:t>
      </w:r>
    </w:p>
    <w:p w:rsidR="00B736C7" w:rsidRDefault="00DD713A">
      <w:pPr>
        <w:pStyle w:val="Personnequisigne"/>
        <w:rPr>
          <w:noProof/>
        </w:rPr>
      </w:pPr>
      <w:r>
        <w:rPr>
          <w:noProof/>
        </w:rPr>
        <w:tab/>
        <w:t>předseda/předsedkyně</w:t>
      </w:r>
    </w:p>
    <w:sectPr w:rsidR="00B736C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6C7" w:rsidRDefault="00DD713A">
      <w:pPr>
        <w:spacing w:before="0" w:after="0"/>
      </w:pPr>
      <w:r>
        <w:separator/>
      </w:r>
    </w:p>
  </w:endnote>
  <w:endnote w:type="continuationSeparator" w:id="0">
    <w:p w:rsidR="00B736C7" w:rsidRDefault="00DD713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6C7" w:rsidRDefault="00DD713A">
    <w:pPr>
      <w:pStyle w:val="Zpat"/>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proofErr w:type="spellStart"/>
    <w:r>
      <w:rPr>
        <w:rFonts w:ascii="Arial" w:hAnsi="Arial" w:cs="Arial"/>
        <w:b/>
        <w:sz w:val="48"/>
      </w:rPr>
      <w:t>CS</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6C7" w:rsidRDefault="00DD713A">
    <w:pPr>
      <w:pStyle w:val="Zpat"/>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w:instrText>
    </w:r>
    <w:r>
      <w:instrText xml:space="preserve"> </w:instrText>
    </w:r>
    <w:r>
      <w:fldChar w:fldCharType="separate"/>
    </w:r>
    <w:r>
      <w:rPr>
        <w:noProof/>
      </w:rPr>
      <w:t>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6C7" w:rsidRDefault="00B736C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6C7" w:rsidRDefault="00DD713A">
      <w:pPr>
        <w:spacing w:before="0" w:after="0"/>
      </w:pPr>
      <w:r>
        <w:separator/>
      </w:r>
    </w:p>
  </w:footnote>
  <w:footnote w:type="continuationSeparator" w:id="0">
    <w:p w:rsidR="00B736C7" w:rsidRDefault="00DD713A">
      <w:pPr>
        <w:spacing w:before="0" w:after="0"/>
      </w:pPr>
      <w:r>
        <w:continuationSeparator/>
      </w:r>
    </w:p>
  </w:footnote>
  <w:footnote w:id="1">
    <w:p w:rsidR="00B736C7" w:rsidRDefault="00DD713A">
      <w:pPr>
        <w:pStyle w:val="Textpoznpodarou"/>
      </w:pPr>
      <w:r>
        <w:rPr>
          <w:rStyle w:val="Znakapoznpodarou"/>
        </w:rPr>
        <w:footnoteRef/>
      </w:r>
      <w:r>
        <w:tab/>
        <w:t xml:space="preserve">Nařízení Rady (ES) č. 539/2001 ze dne 15. března 2001, kterým </w:t>
      </w:r>
      <w:r>
        <w:t xml:space="preserve">se stanoví seznam třetích zemí, jejichž státní příslušníci musí mít při překračování vnějších hranic vízum, jakož i seznam třetích zemí, jejichž státní příslušníci jsou od této povinnosti osvobozeni, </w:t>
      </w:r>
      <w:proofErr w:type="spellStart"/>
      <w:r>
        <w:t>Úř</w:t>
      </w:r>
      <w:proofErr w:type="spellEnd"/>
      <w:r>
        <w:t xml:space="preserve">. </w:t>
      </w:r>
      <w:proofErr w:type="spellStart"/>
      <w:proofErr w:type="gramStart"/>
      <w:r>
        <w:t>věst</w:t>
      </w:r>
      <w:proofErr w:type="spellEnd"/>
      <w:proofErr w:type="gramEnd"/>
      <w:r>
        <w:t xml:space="preserve">. L 81, </w:t>
      </w:r>
      <w:proofErr w:type="gramStart"/>
      <w:r>
        <w:t>21.3.2001</w:t>
      </w:r>
      <w:proofErr w:type="gramEnd"/>
      <w:r>
        <w:t>, s. 1.</w:t>
      </w:r>
    </w:p>
  </w:footnote>
  <w:footnote w:id="2">
    <w:p w:rsidR="00B736C7" w:rsidRDefault="00DD713A">
      <w:pPr>
        <w:pStyle w:val="Textpoznpodarou"/>
      </w:pPr>
      <w:r>
        <w:rPr>
          <w:rStyle w:val="Znakapoznpodarou"/>
        </w:rPr>
        <w:footnoteRef/>
      </w:r>
      <w:r>
        <w:tab/>
        <w:t>Nařízení Evropského p</w:t>
      </w:r>
      <w:r>
        <w:t>arlamentu a Rady (EU) č. 509/2014 ze dne 15. května 2014, kterým se mění nařízení Rady (ES) č. 539/2001, kterým se stanoví seznam třetích zemí, jejichž státní příslušníci musí mít při překračování vnějších hranic vízum, jakož i seznam třetích zemí, jejichž</w:t>
      </w:r>
      <w:r>
        <w:t xml:space="preserve"> státní příslušníci jsou od této povinnosti osvobozeni, </w:t>
      </w:r>
      <w:proofErr w:type="spellStart"/>
      <w:r>
        <w:t>Úř</w:t>
      </w:r>
      <w:proofErr w:type="spellEnd"/>
      <w:r>
        <w:t xml:space="preserve">. </w:t>
      </w:r>
      <w:proofErr w:type="spellStart"/>
      <w:proofErr w:type="gramStart"/>
      <w:r>
        <w:t>věst</w:t>
      </w:r>
      <w:proofErr w:type="spellEnd"/>
      <w:proofErr w:type="gramEnd"/>
      <w:r>
        <w:t xml:space="preserve">. L 149, </w:t>
      </w:r>
      <w:proofErr w:type="gramStart"/>
      <w:r>
        <w:t>20.5.2014</w:t>
      </w:r>
      <w:proofErr w:type="gramEnd"/>
      <w:r>
        <w:t>, s. 67.</w:t>
      </w:r>
    </w:p>
  </w:footnote>
  <w:footnote w:id="3">
    <w:p w:rsidR="00B736C7" w:rsidRDefault="00DD713A">
      <w:pPr>
        <w:pStyle w:val="Textpoznpodarou"/>
      </w:pPr>
      <w:r>
        <w:rPr>
          <w:rStyle w:val="Znakapoznpodarou"/>
        </w:rPr>
        <w:footnoteRef/>
      </w:r>
      <w:r>
        <w:tab/>
        <w:t xml:space="preserve">COM(2014) 467, </w:t>
      </w:r>
      <w:proofErr w:type="gramStart"/>
      <w:r>
        <w:t>17.7.2014</w:t>
      </w:r>
      <w:proofErr w:type="gramEnd"/>
      <w:r>
        <w:t>.</w:t>
      </w:r>
    </w:p>
  </w:footnote>
  <w:footnote w:id="4">
    <w:p w:rsidR="00B736C7" w:rsidRDefault="00DD713A">
      <w:pPr>
        <w:pStyle w:val="Textpoznpodarou"/>
      </w:pPr>
      <w:r>
        <w:rPr>
          <w:rStyle w:val="Znakapoznpodarou"/>
        </w:rPr>
        <w:footnoteRef/>
      </w:r>
      <w:r>
        <w:tab/>
        <w:t>Souhlas udělen dne […].</w:t>
      </w:r>
    </w:p>
  </w:footnote>
  <w:footnote w:id="5">
    <w:p w:rsidR="00B736C7" w:rsidRDefault="00DD713A">
      <w:pPr>
        <w:pStyle w:val="Textpoznpodarou"/>
      </w:pPr>
      <w:r>
        <w:rPr>
          <w:rStyle w:val="Znakapoznpodarou"/>
        </w:rPr>
        <w:footnoteRef/>
      </w:r>
      <w:r>
        <w:tab/>
        <w:t xml:space="preserve">Rozhodnutí Rady 2000/365/ES ze dne 29. května 2000 o žádosti Spojeného království Velké Británie a Severního </w:t>
      </w:r>
      <w:r>
        <w:t xml:space="preserve">Irska, aby se na ně vztahovala některá ustanovení schengenského </w:t>
      </w:r>
      <w:proofErr w:type="spellStart"/>
      <w:r>
        <w:rPr>
          <w:i/>
        </w:rPr>
        <w:t>acquis</w:t>
      </w:r>
      <w:proofErr w:type="spellEnd"/>
      <w:r>
        <w:t xml:space="preserve"> (</w:t>
      </w:r>
      <w:proofErr w:type="spellStart"/>
      <w:r>
        <w:t>Úř</w:t>
      </w:r>
      <w:proofErr w:type="spellEnd"/>
      <w:r>
        <w:t>. </w:t>
      </w:r>
      <w:proofErr w:type="spellStart"/>
      <w:proofErr w:type="gramStart"/>
      <w:r>
        <w:t>věst</w:t>
      </w:r>
      <w:proofErr w:type="spellEnd"/>
      <w:proofErr w:type="gramEnd"/>
      <w:r>
        <w:t xml:space="preserve">. L 131, </w:t>
      </w:r>
      <w:proofErr w:type="gramStart"/>
      <w:r>
        <w:t>1.6.2000</w:t>
      </w:r>
      <w:proofErr w:type="gramEnd"/>
      <w:r>
        <w:t>, s. 43).</w:t>
      </w:r>
    </w:p>
  </w:footnote>
  <w:footnote w:id="6">
    <w:p w:rsidR="00B736C7" w:rsidRDefault="00DD713A">
      <w:pPr>
        <w:pStyle w:val="Textpoznpodarou"/>
      </w:pPr>
      <w:r>
        <w:rPr>
          <w:rStyle w:val="Znakapoznpodarou"/>
        </w:rPr>
        <w:footnoteRef/>
      </w:r>
      <w:r>
        <w:tab/>
        <w:t xml:space="preserve">Rozhodnutí Rady 2002/192/ES ze dne 28. února 2002 o žádosti Irska, aby se na ně vztahovala některá ustanovení schengenského </w:t>
      </w:r>
      <w:proofErr w:type="spellStart"/>
      <w:r>
        <w:rPr>
          <w:i/>
        </w:rPr>
        <w:t>acquis</w:t>
      </w:r>
      <w:proofErr w:type="spellEnd"/>
      <w:r>
        <w:t xml:space="preserve"> (</w:t>
      </w:r>
      <w:proofErr w:type="spellStart"/>
      <w:r>
        <w:t>Úř</w:t>
      </w:r>
      <w:proofErr w:type="spellEnd"/>
      <w:r>
        <w:t xml:space="preserve">. </w:t>
      </w:r>
      <w:proofErr w:type="spellStart"/>
      <w:proofErr w:type="gramStart"/>
      <w:r>
        <w:t>věst</w:t>
      </w:r>
      <w:proofErr w:type="spellEnd"/>
      <w:proofErr w:type="gramEnd"/>
      <w:r>
        <w:t xml:space="preserve">. L 64, </w:t>
      </w:r>
      <w:proofErr w:type="gramStart"/>
      <w:r>
        <w:t>7.3.2002</w:t>
      </w:r>
      <w:proofErr w:type="gramEnd"/>
      <w:r>
        <w:t>, s. 20).</w:t>
      </w:r>
    </w:p>
  </w:footnote>
  <w:footnote w:id="7">
    <w:p w:rsidR="00B736C7" w:rsidRDefault="00DD713A">
      <w:pPr>
        <w:pStyle w:val="Textpoznpodarou"/>
      </w:pPr>
      <w:r>
        <w:rPr>
          <w:rStyle w:val="Znakapoznpodarou"/>
        </w:rPr>
        <w:footnoteRef/>
      </w:r>
      <w:r>
        <w:tab/>
        <w:t xml:space="preserve">Den vstupu dohody v platnost zveřejní generální sekretariát Rady v </w:t>
      </w:r>
      <w:r>
        <w:rPr>
          <w:i/>
        </w:rPr>
        <w:t>Úředním věstníku Evropské unie</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8763EDA"/>
    <w:lvl w:ilvl="0">
      <w:start w:val="1"/>
      <w:numFmt w:val="decimal"/>
      <w:pStyle w:val="slovanseznam4"/>
      <w:lvlText w:val="%1."/>
      <w:lvlJc w:val="left"/>
      <w:pPr>
        <w:tabs>
          <w:tab w:val="num" w:pos="1209"/>
        </w:tabs>
        <w:ind w:left="1209" w:hanging="360"/>
      </w:pPr>
    </w:lvl>
  </w:abstractNum>
  <w:abstractNum w:abstractNumId="1">
    <w:nsid w:val="FFFFFF7E"/>
    <w:multiLevelType w:val="singleLevel"/>
    <w:tmpl w:val="BC9ADC6A"/>
    <w:lvl w:ilvl="0">
      <w:start w:val="1"/>
      <w:numFmt w:val="decimal"/>
      <w:pStyle w:val="slovanseznam3"/>
      <w:lvlText w:val="%1."/>
      <w:lvlJc w:val="left"/>
      <w:pPr>
        <w:tabs>
          <w:tab w:val="num" w:pos="926"/>
        </w:tabs>
        <w:ind w:left="926" w:hanging="360"/>
      </w:pPr>
    </w:lvl>
  </w:abstractNum>
  <w:abstractNum w:abstractNumId="2">
    <w:nsid w:val="FFFFFF7F"/>
    <w:multiLevelType w:val="singleLevel"/>
    <w:tmpl w:val="046AD020"/>
    <w:lvl w:ilvl="0">
      <w:start w:val="1"/>
      <w:numFmt w:val="decimal"/>
      <w:pStyle w:val="slovanseznam2"/>
      <w:lvlText w:val="%1."/>
      <w:lvlJc w:val="left"/>
      <w:pPr>
        <w:tabs>
          <w:tab w:val="num" w:pos="643"/>
        </w:tabs>
        <w:ind w:left="643" w:hanging="360"/>
      </w:pPr>
    </w:lvl>
  </w:abstractNum>
  <w:abstractNum w:abstractNumId="3">
    <w:nsid w:val="FFFFFF81"/>
    <w:multiLevelType w:val="singleLevel"/>
    <w:tmpl w:val="DAEE562A"/>
    <w:lvl w:ilvl="0">
      <w:start w:val="1"/>
      <w:numFmt w:val="bullet"/>
      <w:pStyle w:val="Seznamsodrkami4"/>
      <w:lvlText w:val=""/>
      <w:lvlJc w:val="left"/>
      <w:pPr>
        <w:tabs>
          <w:tab w:val="num" w:pos="1209"/>
        </w:tabs>
        <w:ind w:left="1209" w:hanging="360"/>
      </w:pPr>
      <w:rPr>
        <w:rFonts w:ascii="Symbol" w:hAnsi="Symbol" w:hint="default"/>
      </w:rPr>
    </w:lvl>
  </w:abstractNum>
  <w:abstractNum w:abstractNumId="4">
    <w:nsid w:val="FFFFFF82"/>
    <w:multiLevelType w:val="singleLevel"/>
    <w:tmpl w:val="E2E87182"/>
    <w:lvl w:ilvl="0">
      <w:start w:val="1"/>
      <w:numFmt w:val="bullet"/>
      <w:pStyle w:val="Seznamsodrkami3"/>
      <w:lvlText w:val=""/>
      <w:lvlJc w:val="left"/>
      <w:pPr>
        <w:tabs>
          <w:tab w:val="num" w:pos="926"/>
        </w:tabs>
        <w:ind w:left="926" w:hanging="360"/>
      </w:pPr>
      <w:rPr>
        <w:rFonts w:ascii="Symbol" w:hAnsi="Symbol" w:hint="default"/>
      </w:rPr>
    </w:lvl>
  </w:abstractNum>
  <w:abstractNum w:abstractNumId="5">
    <w:nsid w:val="FFFFFF83"/>
    <w:multiLevelType w:val="singleLevel"/>
    <w:tmpl w:val="308A89D8"/>
    <w:lvl w:ilvl="0">
      <w:start w:val="1"/>
      <w:numFmt w:val="bullet"/>
      <w:pStyle w:val="Seznamsodrkami2"/>
      <w:lvlText w:val=""/>
      <w:lvlJc w:val="left"/>
      <w:pPr>
        <w:tabs>
          <w:tab w:val="num" w:pos="643"/>
        </w:tabs>
        <w:ind w:left="643" w:hanging="360"/>
      </w:pPr>
      <w:rPr>
        <w:rFonts w:ascii="Symbol" w:hAnsi="Symbol" w:hint="default"/>
      </w:rPr>
    </w:lvl>
  </w:abstractNum>
  <w:abstractNum w:abstractNumId="6">
    <w:nsid w:val="FFFFFF88"/>
    <w:multiLevelType w:val="singleLevel"/>
    <w:tmpl w:val="6C02182A"/>
    <w:lvl w:ilvl="0">
      <w:start w:val="1"/>
      <w:numFmt w:val="decimal"/>
      <w:pStyle w:val="slovanseznam"/>
      <w:lvlText w:val="%1."/>
      <w:lvlJc w:val="left"/>
      <w:pPr>
        <w:tabs>
          <w:tab w:val="num" w:pos="360"/>
        </w:tabs>
        <w:ind w:left="360" w:hanging="360"/>
      </w:pPr>
    </w:lvl>
  </w:abstractNum>
  <w:abstractNum w:abstractNumId="7">
    <w:nsid w:val="FFFFFF89"/>
    <w:multiLevelType w:val="singleLevel"/>
    <w:tmpl w:val="5CC8D8D2"/>
    <w:lvl w:ilvl="0">
      <w:start w:val="1"/>
      <w:numFmt w:val="bullet"/>
      <w:pStyle w:val="Seznamsodrkami"/>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0315490"/>
    <w:multiLevelType w:val="singleLevel"/>
    <w:tmpl w:val="1F86C700"/>
    <w:name w:val="0,5809551"/>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Nadpis1"/>
      <w:lvlText w:val="%1."/>
      <w:lvlJc w:val="left"/>
      <w:pPr>
        <w:tabs>
          <w:tab w:val="num" w:pos="850"/>
        </w:tabs>
        <w:ind w:left="850" w:hanging="850"/>
      </w:pPr>
    </w:lvl>
    <w:lvl w:ilvl="1">
      <w:start w:val="1"/>
      <w:numFmt w:val="decimal"/>
      <w:pStyle w:val="Nadpis2"/>
      <w:lvlText w:val="%1.%2."/>
      <w:lvlJc w:val="left"/>
      <w:pPr>
        <w:tabs>
          <w:tab w:val="num" w:pos="850"/>
        </w:tabs>
        <w:ind w:left="850" w:hanging="850"/>
      </w:pPr>
    </w:lvl>
    <w:lvl w:ilvl="2">
      <w:start w:val="1"/>
      <w:numFmt w:val="decimal"/>
      <w:pStyle w:val="Nadpis3"/>
      <w:lvlText w:val="%1.%2.%3."/>
      <w:lvlJc w:val="left"/>
      <w:pPr>
        <w:tabs>
          <w:tab w:val="num" w:pos="850"/>
        </w:tabs>
        <w:ind w:left="850" w:hanging="850"/>
      </w:pPr>
    </w:lvl>
    <w:lvl w:ilvl="3">
      <w:start w:val="1"/>
      <w:numFmt w:val="decimal"/>
      <w:pStyle w:val="Nadpis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2"/>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22"/>
    <w:lvlOverride w:ilvl="0">
      <w:startOverride w:val="1"/>
    </w:lvlOverride>
  </w:num>
  <w:num w:numId="11">
    <w:abstractNumId w:val="19"/>
  </w:num>
  <w:num w:numId="12">
    <w:abstractNumId w:val="13"/>
  </w:num>
  <w:num w:numId="13">
    <w:abstractNumId w:val="21"/>
  </w:num>
  <w:num w:numId="14">
    <w:abstractNumId w:val="11"/>
  </w:num>
  <w:num w:numId="15">
    <w:abstractNumId w:val="14"/>
  </w:num>
  <w:num w:numId="16">
    <w:abstractNumId w:val="9"/>
  </w:num>
  <w:num w:numId="17">
    <w:abstractNumId w:val="20"/>
  </w:num>
  <w:num w:numId="18">
    <w:abstractNumId w:val="8"/>
  </w:num>
  <w:num w:numId="19">
    <w:abstractNumId w:val="15"/>
  </w:num>
  <w:num w:numId="20">
    <w:abstractNumId w:val="17"/>
  </w:num>
  <w:num w:numId="21">
    <w:abstractNumId w:val="18"/>
  </w:num>
  <w:num w:numId="22">
    <w:abstractNumId w:val="10"/>
  </w:num>
  <w:num w:numId="23">
    <w:abstractNumId w:val="16"/>
  </w:num>
  <w:num w:numId="2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proofState w:spelling="clean" w:grammar="clean"/>
  <w:attachedTemplate r:id="rId1"/>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2-26 09:50:2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1"/>
    <w:docVar w:name="LW_CONFIDENCE" w:val=" "/>
    <w:docVar w:name="LW_CONST_RESTREINT_UE" w:val="RESTREINT UE"/>
    <w:docVar w:name="LW_CORRIGENDUM" w:val="&lt;UNUSED&gt;"/>
    <w:docVar w:name="LW_COVERPAGE_GUID" w:val="49530EEF6DBD4139AB37A4CA25B3FEEB"/>
    <w:docVar w:name="LW_CROSSREFERENCE" w:val="&lt;UNUSED&gt;"/>
    <w:docVar w:name="LW_DocType" w:val="COM"/>
    <w:docVar w:name="LW_EMISSION" w:val="8.4.2016"/>
    <w:docVar w:name="LW_EMISSION_ISODATE" w:val="2016-04-08"/>
    <w:docVar w:name="LW_EMISSION_LOCATION" w:val="BRX"/>
    <w:docVar w:name="LW_EMISSION_PREFIX" w:val="V Bruselu dne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CS"/>
    <w:docVar w:name="LW_MARKING" w:val="&lt;UNUSED&gt;"/>
    <w:docVar w:name="LW_NOM.INST" w:val="EVROPSKÁ KOMISE"/>
    <w:docVar w:name="LW_NOM.INST_JOINTDOC" w:val="&lt;EMPTY&gt;"/>
    <w:docVar w:name="LW_PART_NBR" w:val="1"/>
    <w:docVar w:name="LW_PART_NBR_TOTAL" w:val="1"/>
    <w:docVar w:name="LW_REF.II.NEW.CP" w:val="NLE"/>
    <w:docVar w:name="LW_REF.II.NEW.CP_NUMBER" w:val="0096"/>
    <w:docVar w:name="LW_REF.II.NEW.CP_YEAR" w:val="2016"/>
    <w:docVar w:name="LW_REF.INST.NEW" w:val="COM"/>
    <w:docVar w:name="LW_REF.INST.NEW_ADOPTED" w:val="final"/>
    <w:docVar w:name="LW_REF.INST.NEW_TEXT" w:val="(2016) 189"/>
    <w:docVar w:name="LW_REF.INTERNE" w:val="&lt;UNUSED&gt;"/>
    <w:docVar w:name="LW_SOUS.TITRE.OBJ.CP" w:val="&lt;UNUSED&gt;"/>
    <w:docVar w:name="LW_STATUT.CP" w:val="Návrh"/>
    <w:docVar w:name="LW_SUPERTITRE" w:val="&lt;UNUSED&gt;"/>
    <w:docVar w:name="LW_TITRE.OBJ.CP" w:val="o uzav\u345?ení Dohody mezi Evropským spole\u269?enstvím a \u352?alamounovými ostrovy o zru\u353?ení vízové povinnosti pro krátkodobé pobyty"/>
    <w:docVar w:name="LW_TYPE.DOC.CP" w:val="ROZHODNUTÍ RADY"/>
  </w:docVars>
  <w:rsids>
    <w:rsidRoot w:val="00B736C7"/>
    <w:rsid w:val="00B736C7"/>
    <w:rsid w:val="00DD71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before="120" w:after="120" w:line="240" w:lineRule="auto"/>
      <w:jc w:val="both"/>
    </w:pPr>
    <w:rPr>
      <w:rFonts w:ascii="Times New Roman" w:hAnsi="Times New Roman" w:cs="Times New Roman"/>
      <w:sz w:val="24"/>
    </w:rPr>
  </w:style>
  <w:style w:type="paragraph" w:styleId="Nadpis1">
    <w:name w:val="heading 1"/>
    <w:basedOn w:val="Normln"/>
    <w:next w:val="Text1"/>
    <w:link w:val="Nadpis1Char"/>
    <w:uiPriority w:val="9"/>
    <w:qFormat/>
    <w:pPr>
      <w:keepNext/>
      <w:numPr>
        <w:numId w:val="17"/>
      </w:numPr>
      <w:spacing w:before="360"/>
      <w:outlineLvl w:val="0"/>
    </w:pPr>
    <w:rPr>
      <w:rFonts w:eastAsiaTheme="majorEastAsia"/>
      <w:b/>
      <w:bCs/>
      <w:smallCaps/>
      <w:szCs w:val="28"/>
    </w:rPr>
  </w:style>
  <w:style w:type="paragraph" w:styleId="Nadpis2">
    <w:name w:val="heading 2"/>
    <w:basedOn w:val="Normln"/>
    <w:next w:val="Text1"/>
    <w:link w:val="Nadpis2Char"/>
    <w:uiPriority w:val="9"/>
    <w:semiHidden/>
    <w:unhideWhenUsed/>
    <w:qFormat/>
    <w:pPr>
      <w:keepNext/>
      <w:numPr>
        <w:ilvl w:val="1"/>
        <w:numId w:val="17"/>
      </w:numPr>
      <w:outlineLvl w:val="1"/>
    </w:pPr>
    <w:rPr>
      <w:rFonts w:eastAsiaTheme="majorEastAsia"/>
      <w:b/>
      <w:bCs/>
      <w:szCs w:val="26"/>
    </w:rPr>
  </w:style>
  <w:style w:type="paragraph" w:styleId="Nadpis3">
    <w:name w:val="heading 3"/>
    <w:basedOn w:val="Normln"/>
    <w:next w:val="Text1"/>
    <w:link w:val="Nadpis3Char"/>
    <w:uiPriority w:val="9"/>
    <w:semiHidden/>
    <w:unhideWhenUsed/>
    <w:qFormat/>
    <w:pPr>
      <w:keepNext/>
      <w:numPr>
        <w:ilvl w:val="2"/>
        <w:numId w:val="17"/>
      </w:numPr>
      <w:outlineLvl w:val="2"/>
    </w:pPr>
    <w:rPr>
      <w:rFonts w:eastAsiaTheme="majorEastAsia"/>
      <w:bCs/>
      <w:i/>
    </w:rPr>
  </w:style>
  <w:style w:type="paragraph" w:styleId="Nadpis4">
    <w:name w:val="heading 4"/>
    <w:basedOn w:val="Normln"/>
    <w:next w:val="Text1"/>
    <w:link w:val="Nadpis4Char"/>
    <w:uiPriority w:val="9"/>
    <w:semiHidden/>
    <w:unhideWhenUsed/>
    <w:qFormat/>
    <w:pPr>
      <w:keepNext/>
      <w:numPr>
        <w:ilvl w:val="3"/>
        <w:numId w:val="17"/>
      </w:numPr>
      <w:outlineLvl w:val="3"/>
    </w:pPr>
    <w:rPr>
      <w:rFonts w:eastAsiaTheme="majorEastAsia"/>
      <w:bCs/>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istDash">
    <w:name w:val="List Dash"/>
    <w:basedOn w:val="Normln"/>
    <w:pPr>
      <w:numPr>
        <w:numId w:val="1"/>
      </w:numPr>
    </w:pPr>
    <w:rPr>
      <w:rFonts w:eastAsia="Times New Roman"/>
      <w:szCs w:val="24"/>
    </w:rPr>
  </w:style>
  <w:style w:type="paragraph" w:styleId="Titulek">
    <w:name w:val="caption"/>
    <w:basedOn w:val="Normln"/>
    <w:next w:val="Normln"/>
    <w:uiPriority w:val="35"/>
    <w:semiHidden/>
    <w:unhideWhenUsed/>
    <w:qFormat/>
    <w:pPr>
      <w:spacing w:before="0" w:after="200"/>
    </w:pPr>
    <w:rPr>
      <w:b/>
      <w:bCs/>
      <w:color w:val="4F81BD" w:themeColor="accent1"/>
      <w:sz w:val="18"/>
      <w:szCs w:val="18"/>
    </w:rPr>
  </w:style>
  <w:style w:type="paragraph" w:styleId="Seznamobrzk">
    <w:name w:val="table of figures"/>
    <w:basedOn w:val="Normln"/>
    <w:next w:val="Normln"/>
    <w:uiPriority w:val="99"/>
    <w:semiHidden/>
    <w:unhideWhenUsed/>
    <w:pPr>
      <w:spacing w:after="0"/>
    </w:pPr>
  </w:style>
  <w:style w:type="paragraph" w:styleId="Seznamsodrkami">
    <w:name w:val="List Bullet"/>
    <w:basedOn w:val="Normln"/>
    <w:uiPriority w:val="99"/>
    <w:semiHidden/>
    <w:unhideWhenUsed/>
    <w:pPr>
      <w:numPr>
        <w:numId w:val="2"/>
      </w:numPr>
      <w:contextualSpacing/>
    </w:pPr>
  </w:style>
  <w:style w:type="paragraph" w:styleId="Seznamsodrkami2">
    <w:name w:val="List Bullet 2"/>
    <w:basedOn w:val="Normln"/>
    <w:uiPriority w:val="99"/>
    <w:semiHidden/>
    <w:unhideWhenUsed/>
    <w:pPr>
      <w:numPr>
        <w:numId w:val="3"/>
      </w:numPr>
      <w:contextualSpacing/>
    </w:pPr>
  </w:style>
  <w:style w:type="paragraph" w:styleId="Seznamsodrkami3">
    <w:name w:val="List Bullet 3"/>
    <w:basedOn w:val="Normln"/>
    <w:uiPriority w:val="99"/>
    <w:semiHidden/>
    <w:unhideWhenUsed/>
    <w:pPr>
      <w:numPr>
        <w:numId w:val="4"/>
      </w:numPr>
      <w:contextualSpacing/>
    </w:pPr>
  </w:style>
  <w:style w:type="paragraph" w:styleId="Seznamsodrkami4">
    <w:name w:val="List Bullet 4"/>
    <w:basedOn w:val="Normln"/>
    <w:uiPriority w:val="99"/>
    <w:semiHidden/>
    <w:unhideWhenUsed/>
    <w:pPr>
      <w:numPr>
        <w:numId w:val="5"/>
      </w:numPr>
      <w:contextualSpacing/>
    </w:pPr>
  </w:style>
  <w:style w:type="paragraph" w:styleId="slovanseznam">
    <w:name w:val="List Number"/>
    <w:basedOn w:val="Normln"/>
    <w:uiPriority w:val="99"/>
    <w:semiHidden/>
    <w:unhideWhenUsed/>
    <w:pPr>
      <w:numPr>
        <w:numId w:val="6"/>
      </w:numPr>
      <w:contextualSpacing/>
    </w:pPr>
  </w:style>
  <w:style w:type="paragraph" w:styleId="slovanseznam2">
    <w:name w:val="List Number 2"/>
    <w:basedOn w:val="Normln"/>
    <w:uiPriority w:val="99"/>
    <w:semiHidden/>
    <w:unhideWhenUsed/>
    <w:pPr>
      <w:numPr>
        <w:numId w:val="7"/>
      </w:numPr>
      <w:contextualSpacing/>
    </w:pPr>
  </w:style>
  <w:style w:type="paragraph" w:styleId="slovanseznam3">
    <w:name w:val="List Number 3"/>
    <w:basedOn w:val="Normln"/>
    <w:uiPriority w:val="99"/>
    <w:semiHidden/>
    <w:unhideWhenUsed/>
    <w:pPr>
      <w:numPr>
        <w:numId w:val="8"/>
      </w:numPr>
      <w:contextualSpacing/>
    </w:pPr>
  </w:style>
  <w:style w:type="paragraph" w:styleId="slovanseznam4">
    <w:name w:val="List Number 4"/>
    <w:basedOn w:val="Normln"/>
    <w:uiPriority w:val="99"/>
    <w:semiHidden/>
    <w:unhideWhenUsed/>
    <w:pPr>
      <w:numPr>
        <w:numId w:val="9"/>
      </w:numPr>
      <w:contextualSpacing/>
    </w:p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rFonts w:ascii="Times New Roman" w:hAnsi="Times New Roman" w:cs="Times New Roman"/>
      <w:sz w:val="20"/>
      <w:szCs w:val="20"/>
      <w:lang w:val="cs-CZ"/>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rFonts w:ascii="Times New Roman" w:hAnsi="Times New Roman" w:cs="Times New Roman"/>
      <w:b/>
      <w:bCs/>
      <w:sz w:val="20"/>
      <w:szCs w:val="20"/>
      <w:lang w:val="cs-CZ"/>
    </w:rPr>
  </w:style>
  <w:style w:type="character" w:styleId="Hypertextovodkaz">
    <w:name w:val="Hyperlink"/>
    <w:basedOn w:val="Standardnpsmoodstavce"/>
    <w:uiPriority w:val="99"/>
    <w:unhideWhenUsed/>
    <w:rPr>
      <w:color w:val="0000FF" w:themeColor="hyperlink"/>
      <w:u w:val="single"/>
    </w:rPr>
  </w:style>
  <w:style w:type="paragraph" w:styleId="Textbubliny">
    <w:name w:val="Balloon Text"/>
    <w:basedOn w:val="Normln"/>
    <w:link w:val="TextbublinyChar"/>
    <w:uiPriority w:val="99"/>
    <w:semiHidden/>
    <w:unhideWhenUsed/>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lang w:val="cs-CZ"/>
    </w:rPr>
  </w:style>
  <w:style w:type="paragraph" w:styleId="Zhlav">
    <w:name w:val="header"/>
    <w:basedOn w:val="Normln"/>
    <w:link w:val="ZhlavChar"/>
    <w:uiPriority w:val="99"/>
    <w:unhideWhenUsed/>
    <w:pPr>
      <w:tabs>
        <w:tab w:val="center" w:pos="4535"/>
        <w:tab w:val="right" w:pos="9071"/>
      </w:tabs>
      <w:spacing w:before="0"/>
    </w:pPr>
    <w:rPr>
      <w:lang w:eastAsia="en-US" w:bidi="ar-SA"/>
    </w:rPr>
  </w:style>
  <w:style w:type="character" w:customStyle="1" w:styleId="ZhlavChar">
    <w:name w:val="Záhlaví Char"/>
    <w:basedOn w:val="Standardnpsmoodstavce"/>
    <w:link w:val="Zhlav"/>
    <w:uiPriority w:val="99"/>
    <w:rPr>
      <w:rFonts w:ascii="Times New Roman" w:hAnsi="Times New Roman" w:cs="Times New Roman"/>
      <w:sz w:val="24"/>
      <w:lang w:eastAsia="en-US" w:bidi="ar-SA"/>
    </w:rPr>
  </w:style>
  <w:style w:type="paragraph" w:styleId="Zpat">
    <w:name w:val="footer"/>
    <w:basedOn w:val="Normln"/>
    <w:link w:val="ZpatChar"/>
    <w:uiPriority w:val="99"/>
    <w:unhideWhenUsed/>
    <w:pPr>
      <w:tabs>
        <w:tab w:val="center" w:pos="4535"/>
        <w:tab w:val="right" w:pos="9071"/>
        <w:tab w:val="right" w:pos="9921"/>
      </w:tabs>
      <w:spacing w:before="360" w:after="0"/>
      <w:ind w:left="-850" w:right="-850"/>
      <w:jc w:val="left"/>
    </w:pPr>
  </w:style>
  <w:style w:type="character" w:customStyle="1" w:styleId="ZpatChar">
    <w:name w:val="Zápatí Char"/>
    <w:basedOn w:val="Standardnpsmoodstavce"/>
    <w:link w:val="Zpat"/>
    <w:uiPriority w:val="99"/>
    <w:rPr>
      <w:rFonts w:ascii="Times New Roman" w:hAnsi="Times New Roman" w:cs="Times New Roman"/>
      <w:sz w:val="24"/>
      <w:shd w:val="clear" w:color="auto" w:fill="auto"/>
      <w:lang w:val="en-GB"/>
    </w:rPr>
  </w:style>
  <w:style w:type="paragraph" w:styleId="Textpoznpodarou">
    <w:name w:val="footnote text"/>
    <w:basedOn w:val="Normln"/>
    <w:link w:val="TextpoznpodarouChar"/>
    <w:uiPriority w:val="99"/>
    <w:semiHidden/>
    <w:unhideWhenUsed/>
    <w:pPr>
      <w:spacing w:before="0" w:after="0"/>
      <w:ind w:left="720" w:hanging="720"/>
    </w:pPr>
    <w:rPr>
      <w:sz w:val="20"/>
      <w:szCs w:val="20"/>
    </w:rPr>
  </w:style>
  <w:style w:type="character" w:customStyle="1" w:styleId="TextpoznpodarouChar">
    <w:name w:val="Text pozn. pod čarou Char"/>
    <w:basedOn w:val="Standardnpsmoodstavce"/>
    <w:link w:val="Textpoznpodarou"/>
    <w:uiPriority w:val="99"/>
    <w:semiHidden/>
    <w:rPr>
      <w:rFonts w:ascii="Times New Roman" w:hAnsi="Times New Roman" w:cs="Times New Roman"/>
      <w:sz w:val="20"/>
      <w:szCs w:val="20"/>
      <w:shd w:val="clear" w:color="auto" w:fill="auto"/>
      <w:lang w:val="en-GB"/>
    </w:rPr>
  </w:style>
  <w:style w:type="character" w:customStyle="1" w:styleId="Nadpis1Char">
    <w:name w:val="Nadpis 1 Char"/>
    <w:basedOn w:val="Standardnpsmoodstavce"/>
    <w:link w:val="Nadpis1"/>
    <w:uiPriority w:val="9"/>
    <w:rPr>
      <w:rFonts w:ascii="Times New Roman" w:eastAsiaTheme="majorEastAsia" w:hAnsi="Times New Roman" w:cs="Times New Roman"/>
      <w:b/>
      <w:bCs/>
      <w:smallCaps/>
      <w:sz w:val="24"/>
      <w:szCs w:val="28"/>
      <w:lang w:val="en-GB"/>
    </w:rPr>
  </w:style>
  <w:style w:type="character" w:customStyle="1" w:styleId="Nadpis2Char">
    <w:name w:val="Nadpis 2 Char"/>
    <w:basedOn w:val="Standardnpsmoodstavce"/>
    <w:link w:val="Nadpis2"/>
    <w:uiPriority w:val="9"/>
    <w:semiHidden/>
    <w:rPr>
      <w:rFonts w:ascii="Times New Roman" w:eastAsiaTheme="majorEastAsia" w:hAnsi="Times New Roman" w:cs="Times New Roman"/>
      <w:b/>
      <w:bCs/>
      <w:sz w:val="24"/>
      <w:szCs w:val="26"/>
      <w:lang w:val="en-GB"/>
    </w:rPr>
  </w:style>
  <w:style w:type="character" w:customStyle="1" w:styleId="Nadpis3Char">
    <w:name w:val="Nadpis 3 Char"/>
    <w:basedOn w:val="Standardnpsmoodstavce"/>
    <w:link w:val="Nadpis3"/>
    <w:uiPriority w:val="9"/>
    <w:semiHidden/>
    <w:rPr>
      <w:rFonts w:ascii="Times New Roman" w:eastAsiaTheme="majorEastAsia" w:hAnsi="Times New Roman" w:cs="Times New Roman"/>
      <w:bCs/>
      <w:i/>
      <w:sz w:val="24"/>
      <w:lang w:val="en-GB"/>
    </w:rPr>
  </w:style>
  <w:style w:type="character" w:customStyle="1" w:styleId="Nadpis4Char">
    <w:name w:val="Nadpis 4 Char"/>
    <w:basedOn w:val="Standardnpsmoodstavce"/>
    <w:link w:val="Nadpis4"/>
    <w:uiPriority w:val="9"/>
    <w:semiHidden/>
    <w:rPr>
      <w:rFonts w:ascii="Times New Roman" w:eastAsiaTheme="majorEastAsia" w:hAnsi="Times New Roman" w:cs="Times New Roman"/>
      <w:bCs/>
      <w:iCs/>
      <w:sz w:val="24"/>
      <w:lang w:val="en-GB"/>
    </w:rPr>
  </w:style>
  <w:style w:type="paragraph" w:styleId="Nadpisobsahu">
    <w:name w:val="TOC Heading"/>
    <w:basedOn w:val="Normln"/>
    <w:next w:val="Normln"/>
    <w:uiPriority w:val="39"/>
    <w:semiHidden/>
    <w:unhideWhenUsed/>
    <w:qFormat/>
    <w:pPr>
      <w:spacing w:after="240"/>
      <w:jc w:val="center"/>
    </w:pPr>
    <w:rPr>
      <w:b/>
      <w:sz w:val="28"/>
    </w:rPr>
  </w:style>
  <w:style w:type="paragraph" w:styleId="Obsah1">
    <w:name w:val="toc 1"/>
    <w:basedOn w:val="Normln"/>
    <w:next w:val="Normln"/>
    <w:uiPriority w:val="39"/>
    <w:semiHidden/>
    <w:unhideWhenUsed/>
    <w:pPr>
      <w:tabs>
        <w:tab w:val="right" w:leader="dot" w:pos="9071"/>
      </w:tabs>
      <w:spacing w:before="60"/>
      <w:ind w:left="850" w:hanging="850"/>
      <w:jc w:val="left"/>
    </w:pPr>
  </w:style>
  <w:style w:type="paragraph" w:styleId="Obsah2">
    <w:name w:val="toc 2"/>
    <w:basedOn w:val="Normln"/>
    <w:next w:val="Normln"/>
    <w:uiPriority w:val="39"/>
    <w:semiHidden/>
    <w:unhideWhenUsed/>
    <w:pPr>
      <w:tabs>
        <w:tab w:val="right" w:leader="dot" w:pos="9071"/>
      </w:tabs>
      <w:spacing w:before="60"/>
      <w:ind w:left="850" w:hanging="850"/>
      <w:jc w:val="left"/>
    </w:pPr>
  </w:style>
  <w:style w:type="paragraph" w:styleId="Obsah3">
    <w:name w:val="toc 3"/>
    <w:basedOn w:val="Normln"/>
    <w:next w:val="Normln"/>
    <w:uiPriority w:val="39"/>
    <w:semiHidden/>
    <w:unhideWhenUsed/>
    <w:pPr>
      <w:tabs>
        <w:tab w:val="right" w:leader="dot" w:pos="9071"/>
      </w:tabs>
      <w:spacing w:before="60"/>
      <w:ind w:left="850" w:hanging="850"/>
      <w:jc w:val="left"/>
    </w:pPr>
  </w:style>
  <w:style w:type="paragraph" w:styleId="Obsah4">
    <w:name w:val="toc 4"/>
    <w:basedOn w:val="Normln"/>
    <w:next w:val="Normln"/>
    <w:uiPriority w:val="39"/>
    <w:semiHidden/>
    <w:unhideWhenUsed/>
    <w:pPr>
      <w:tabs>
        <w:tab w:val="right" w:leader="dot" w:pos="9071"/>
      </w:tabs>
      <w:spacing w:before="60"/>
      <w:ind w:left="850" w:hanging="850"/>
      <w:jc w:val="left"/>
    </w:pPr>
  </w:style>
  <w:style w:type="paragraph" w:styleId="Obsah5">
    <w:name w:val="toc 5"/>
    <w:basedOn w:val="Normln"/>
    <w:next w:val="Normln"/>
    <w:uiPriority w:val="39"/>
    <w:semiHidden/>
    <w:unhideWhenUsed/>
    <w:pPr>
      <w:tabs>
        <w:tab w:val="right" w:leader="dot" w:pos="9071"/>
      </w:tabs>
      <w:spacing w:before="300"/>
      <w:jc w:val="left"/>
    </w:pPr>
  </w:style>
  <w:style w:type="paragraph" w:styleId="Obsah6">
    <w:name w:val="toc 6"/>
    <w:basedOn w:val="Normln"/>
    <w:next w:val="Normln"/>
    <w:uiPriority w:val="39"/>
    <w:semiHidden/>
    <w:unhideWhenUsed/>
    <w:pPr>
      <w:tabs>
        <w:tab w:val="right" w:leader="dot" w:pos="9071"/>
      </w:tabs>
      <w:spacing w:before="240"/>
      <w:jc w:val="left"/>
    </w:pPr>
  </w:style>
  <w:style w:type="paragraph" w:styleId="Obsah7">
    <w:name w:val="toc 7"/>
    <w:basedOn w:val="Normln"/>
    <w:next w:val="Normln"/>
    <w:uiPriority w:val="39"/>
    <w:semiHidden/>
    <w:unhideWhenUsed/>
    <w:pPr>
      <w:tabs>
        <w:tab w:val="right" w:leader="dot" w:pos="9071"/>
      </w:tabs>
      <w:spacing w:before="180"/>
      <w:jc w:val="left"/>
    </w:pPr>
  </w:style>
  <w:style w:type="paragraph" w:styleId="Obsah8">
    <w:name w:val="toc 8"/>
    <w:basedOn w:val="Normln"/>
    <w:next w:val="Normln"/>
    <w:uiPriority w:val="39"/>
    <w:semiHidden/>
    <w:unhideWhenUsed/>
    <w:pPr>
      <w:tabs>
        <w:tab w:val="right" w:leader="dot" w:pos="9071"/>
      </w:tabs>
      <w:jc w:val="left"/>
    </w:pPr>
  </w:style>
  <w:style w:type="paragraph" w:styleId="Obsah9">
    <w:name w:val="toc 9"/>
    <w:basedOn w:val="Normln"/>
    <w:next w:val="Normln"/>
    <w:uiPriority w:val="39"/>
    <w:semiHidden/>
    <w:unhideWhenUsed/>
    <w:pPr>
      <w:tabs>
        <w:tab w:val="right" w:leader="dot" w:pos="9071"/>
      </w:tabs>
    </w:pPr>
  </w:style>
  <w:style w:type="paragraph" w:customStyle="1" w:styleId="HeaderLandscape">
    <w:name w:val="HeaderLandscape"/>
    <w:basedOn w:val="Normln"/>
    <w:pPr>
      <w:tabs>
        <w:tab w:val="center" w:pos="7285"/>
        <w:tab w:val="right" w:pos="14003"/>
      </w:tabs>
      <w:spacing w:before="0"/>
    </w:pPr>
    <w:rPr>
      <w:lang w:eastAsia="en-US" w:bidi="ar-SA"/>
    </w:rPr>
  </w:style>
  <w:style w:type="paragraph" w:customStyle="1" w:styleId="FooterLandscape">
    <w:name w:val="FooterLandscape"/>
    <w:basedOn w:val="Normln"/>
    <w:pPr>
      <w:tabs>
        <w:tab w:val="center" w:pos="7285"/>
        <w:tab w:val="center" w:pos="10913"/>
        <w:tab w:val="right" w:pos="15137"/>
      </w:tabs>
      <w:spacing w:before="360" w:after="0"/>
      <w:ind w:left="-567" w:right="-567"/>
      <w:jc w:val="left"/>
    </w:pPr>
  </w:style>
  <w:style w:type="character" w:styleId="Znakapoznpodarou">
    <w:name w:val="footnote reference"/>
    <w:basedOn w:val="Standardnpsmoodstavce"/>
    <w:uiPriority w:val="99"/>
    <w:semiHidden/>
    <w:unhideWhenUsed/>
    <w:rPr>
      <w:shd w:val="clear" w:color="auto" w:fill="auto"/>
      <w:vertAlign w:val="superscript"/>
    </w:rPr>
  </w:style>
  <w:style w:type="paragraph" w:customStyle="1" w:styleId="Text1">
    <w:name w:val="Text 1"/>
    <w:basedOn w:val="Normln"/>
    <w:pPr>
      <w:ind w:left="850"/>
    </w:pPr>
  </w:style>
  <w:style w:type="paragraph" w:customStyle="1" w:styleId="Text2">
    <w:name w:val="Text 2"/>
    <w:basedOn w:val="Normln"/>
    <w:pPr>
      <w:ind w:left="1417"/>
    </w:pPr>
  </w:style>
  <w:style w:type="paragraph" w:customStyle="1" w:styleId="Text3">
    <w:name w:val="Text 3"/>
    <w:basedOn w:val="Normln"/>
    <w:pPr>
      <w:ind w:left="1984"/>
    </w:pPr>
  </w:style>
  <w:style w:type="paragraph" w:customStyle="1" w:styleId="Text4">
    <w:name w:val="Text 4"/>
    <w:basedOn w:val="Normln"/>
    <w:pPr>
      <w:ind w:left="2551"/>
    </w:pPr>
  </w:style>
  <w:style w:type="paragraph" w:customStyle="1" w:styleId="NormalCentered">
    <w:name w:val="Normal Centered"/>
    <w:basedOn w:val="Normln"/>
    <w:pPr>
      <w:jc w:val="center"/>
    </w:pPr>
  </w:style>
  <w:style w:type="paragraph" w:customStyle="1" w:styleId="NormalLeft">
    <w:name w:val="Normal Left"/>
    <w:basedOn w:val="Normln"/>
    <w:pPr>
      <w:jc w:val="left"/>
    </w:pPr>
  </w:style>
  <w:style w:type="paragraph" w:customStyle="1" w:styleId="NormalRight">
    <w:name w:val="Normal Right"/>
    <w:basedOn w:val="Normln"/>
    <w:pPr>
      <w:jc w:val="right"/>
    </w:pPr>
  </w:style>
  <w:style w:type="paragraph" w:customStyle="1" w:styleId="QuotedText">
    <w:name w:val="Quoted Text"/>
    <w:basedOn w:val="Normln"/>
    <w:pPr>
      <w:ind w:left="1417"/>
    </w:pPr>
  </w:style>
  <w:style w:type="paragraph" w:customStyle="1" w:styleId="Point0">
    <w:name w:val="Point 0"/>
    <w:basedOn w:val="Normln"/>
    <w:pPr>
      <w:ind w:left="850" w:hanging="850"/>
    </w:pPr>
  </w:style>
  <w:style w:type="paragraph" w:customStyle="1" w:styleId="Point1">
    <w:name w:val="Point 1"/>
    <w:basedOn w:val="Normln"/>
    <w:pPr>
      <w:ind w:left="1417" w:hanging="567"/>
    </w:pPr>
  </w:style>
  <w:style w:type="paragraph" w:customStyle="1" w:styleId="Point2">
    <w:name w:val="Point 2"/>
    <w:basedOn w:val="Normln"/>
    <w:pPr>
      <w:ind w:left="1984" w:hanging="567"/>
    </w:pPr>
  </w:style>
  <w:style w:type="paragraph" w:customStyle="1" w:styleId="Point3">
    <w:name w:val="Point 3"/>
    <w:basedOn w:val="Normln"/>
    <w:pPr>
      <w:ind w:left="2551" w:hanging="567"/>
    </w:pPr>
  </w:style>
  <w:style w:type="paragraph" w:customStyle="1" w:styleId="Point4">
    <w:name w:val="Point 4"/>
    <w:basedOn w:val="Normln"/>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ln"/>
    <w:pPr>
      <w:tabs>
        <w:tab w:val="left" w:pos="850"/>
      </w:tabs>
      <w:ind w:left="1417" w:hanging="1417"/>
    </w:pPr>
  </w:style>
  <w:style w:type="paragraph" w:customStyle="1" w:styleId="PointDouble1">
    <w:name w:val="PointDouble 1"/>
    <w:basedOn w:val="Normln"/>
    <w:pPr>
      <w:tabs>
        <w:tab w:val="left" w:pos="1417"/>
      </w:tabs>
      <w:ind w:left="1984" w:hanging="1134"/>
    </w:pPr>
  </w:style>
  <w:style w:type="paragraph" w:customStyle="1" w:styleId="PointDouble2">
    <w:name w:val="PointDouble 2"/>
    <w:basedOn w:val="Normln"/>
    <w:pPr>
      <w:tabs>
        <w:tab w:val="left" w:pos="1984"/>
      </w:tabs>
      <w:ind w:left="2551" w:hanging="1134"/>
    </w:pPr>
  </w:style>
  <w:style w:type="paragraph" w:customStyle="1" w:styleId="PointDouble3">
    <w:name w:val="PointDouble 3"/>
    <w:basedOn w:val="Normln"/>
    <w:pPr>
      <w:tabs>
        <w:tab w:val="left" w:pos="2551"/>
      </w:tabs>
      <w:ind w:left="3118" w:hanging="1134"/>
    </w:pPr>
  </w:style>
  <w:style w:type="paragraph" w:customStyle="1" w:styleId="PointDouble4">
    <w:name w:val="PointDouble 4"/>
    <w:basedOn w:val="Normln"/>
    <w:pPr>
      <w:tabs>
        <w:tab w:val="left" w:pos="3118"/>
      </w:tabs>
      <w:ind w:left="3685" w:hanging="1134"/>
    </w:pPr>
  </w:style>
  <w:style w:type="paragraph" w:customStyle="1" w:styleId="PointTriple0">
    <w:name w:val="PointTriple 0"/>
    <w:basedOn w:val="Normln"/>
    <w:pPr>
      <w:tabs>
        <w:tab w:val="left" w:pos="850"/>
        <w:tab w:val="left" w:pos="1417"/>
      </w:tabs>
      <w:ind w:left="1984" w:hanging="1984"/>
    </w:pPr>
  </w:style>
  <w:style w:type="paragraph" w:customStyle="1" w:styleId="PointTriple1">
    <w:name w:val="PointTriple 1"/>
    <w:basedOn w:val="Normln"/>
    <w:pPr>
      <w:tabs>
        <w:tab w:val="left" w:pos="1417"/>
        <w:tab w:val="left" w:pos="1984"/>
      </w:tabs>
      <w:ind w:left="2551" w:hanging="1701"/>
    </w:pPr>
  </w:style>
  <w:style w:type="paragraph" w:customStyle="1" w:styleId="PointTriple2">
    <w:name w:val="PointTriple 2"/>
    <w:basedOn w:val="Normln"/>
    <w:pPr>
      <w:tabs>
        <w:tab w:val="left" w:pos="1984"/>
        <w:tab w:val="left" w:pos="2551"/>
      </w:tabs>
      <w:ind w:left="3118" w:hanging="1701"/>
    </w:pPr>
  </w:style>
  <w:style w:type="paragraph" w:customStyle="1" w:styleId="PointTriple3">
    <w:name w:val="PointTriple 3"/>
    <w:basedOn w:val="Normln"/>
    <w:pPr>
      <w:tabs>
        <w:tab w:val="left" w:pos="2551"/>
        <w:tab w:val="left" w:pos="3118"/>
      </w:tabs>
      <w:ind w:left="3685" w:hanging="1701"/>
    </w:pPr>
  </w:style>
  <w:style w:type="paragraph" w:customStyle="1" w:styleId="PointTriple4">
    <w:name w:val="PointTriple 4"/>
    <w:basedOn w:val="Normln"/>
    <w:pPr>
      <w:tabs>
        <w:tab w:val="left" w:pos="3118"/>
        <w:tab w:val="left" w:pos="3685"/>
      </w:tabs>
      <w:ind w:left="4252" w:hanging="1701"/>
    </w:pPr>
  </w:style>
  <w:style w:type="paragraph" w:customStyle="1" w:styleId="NumPar1">
    <w:name w:val="NumPar 1"/>
    <w:basedOn w:val="Normln"/>
    <w:next w:val="Text1"/>
    <w:pPr>
      <w:numPr>
        <w:numId w:val="16"/>
      </w:numPr>
    </w:pPr>
  </w:style>
  <w:style w:type="paragraph" w:customStyle="1" w:styleId="NumPar2">
    <w:name w:val="NumPar 2"/>
    <w:basedOn w:val="Normln"/>
    <w:next w:val="Text1"/>
    <w:pPr>
      <w:numPr>
        <w:ilvl w:val="1"/>
        <w:numId w:val="16"/>
      </w:numPr>
    </w:pPr>
  </w:style>
  <w:style w:type="paragraph" w:customStyle="1" w:styleId="NumPar3">
    <w:name w:val="NumPar 3"/>
    <w:basedOn w:val="Normln"/>
    <w:next w:val="Text1"/>
    <w:pPr>
      <w:numPr>
        <w:ilvl w:val="2"/>
        <w:numId w:val="16"/>
      </w:numPr>
    </w:pPr>
  </w:style>
  <w:style w:type="paragraph" w:customStyle="1" w:styleId="NumPar4">
    <w:name w:val="NumPar 4"/>
    <w:basedOn w:val="Normln"/>
    <w:next w:val="Text1"/>
    <w:pPr>
      <w:numPr>
        <w:ilvl w:val="3"/>
        <w:numId w:val="16"/>
      </w:numPr>
    </w:pPr>
  </w:style>
  <w:style w:type="paragraph" w:customStyle="1" w:styleId="ManualNumPar1">
    <w:name w:val="Manual NumPar 1"/>
    <w:basedOn w:val="Normln"/>
    <w:next w:val="Text1"/>
    <w:pPr>
      <w:ind w:left="850" w:hanging="850"/>
    </w:pPr>
  </w:style>
  <w:style w:type="paragraph" w:customStyle="1" w:styleId="ManualNumPar2">
    <w:name w:val="Manual NumPar 2"/>
    <w:basedOn w:val="Normln"/>
    <w:next w:val="Text1"/>
    <w:pPr>
      <w:ind w:left="850" w:hanging="850"/>
    </w:pPr>
  </w:style>
  <w:style w:type="paragraph" w:customStyle="1" w:styleId="ManualNumPar3">
    <w:name w:val="Manual NumPar 3"/>
    <w:basedOn w:val="Normln"/>
    <w:next w:val="Text1"/>
    <w:pPr>
      <w:ind w:left="850" w:hanging="850"/>
    </w:pPr>
  </w:style>
  <w:style w:type="paragraph" w:customStyle="1" w:styleId="ManualNumPar4">
    <w:name w:val="Manual NumPar 4"/>
    <w:basedOn w:val="Normln"/>
    <w:next w:val="Text1"/>
    <w:pPr>
      <w:ind w:left="850" w:hanging="850"/>
    </w:pPr>
  </w:style>
  <w:style w:type="paragraph" w:customStyle="1" w:styleId="QuotedNumPar">
    <w:name w:val="Quoted NumPar"/>
    <w:basedOn w:val="Normln"/>
    <w:pPr>
      <w:ind w:left="1417" w:hanging="567"/>
    </w:pPr>
  </w:style>
  <w:style w:type="paragraph" w:customStyle="1" w:styleId="ManualHeading1">
    <w:name w:val="Manual Heading 1"/>
    <w:basedOn w:val="Normln"/>
    <w:next w:val="Text1"/>
    <w:pPr>
      <w:keepNext/>
      <w:tabs>
        <w:tab w:val="left" w:pos="850"/>
      </w:tabs>
      <w:spacing w:before="360"/>
      <w:ind w:left="850" w:hanging="850"/>
      <w:outlineLvl w:val="0"/>
    </w:pPr>
    <w:rPr>
      <w:b/>
      <w:smallCaps/>
    </w:rPr>
  </w:style>
  <w:style w:type="paragraph" w:customStyle="1" w:styleId="ManualHeading2">
    <w:name w:val="Manual Heading 2"/>
    <w:basedOn w:val="Normln"/>
    <w:next w:val="Text1"/>
    <w:pPr>
      <w:keepNext/>
      <w:tabs>
        <w:tab w:val="left" w:pos="850"/>
      </w:tabs>
      <w:ind w:left="850" w:hanging="850"/>
      <w:outlineLvl w:val="1"/>
    </w:pPr>
    <w:rPr>
      <w:b/>
    </w:rPr>
  </w:style>
  <w:style w:type="paragraph" w:customStyle="1" w:styleId="ManualHeading3">
    <w:name w:val="Manual Heading 3"/>
    <w:basedOn w:val="Normln"/>
    <w:next w:val="Text1"/>
    <w:pPr>
      <w:keepNext/>
      <w:tabs>
        <w:tab w:val="left" w:pos="850"/>
      </w:tabs>
      <w:ind w:left="850" w:hanging="850"/>
      <w:outlineLvl w:val="2"/>
    </w:pPr>
    <w:rPr>
      <w:i/>
    </w:rPr>
  </w:style>
  <w:style w:type="paragraph" w:customStyle="1" w:styleId="ManualHeading4">
    <w:name w:val="Manual Heading 4"/>
    <w:basedOn w:val="Normln"/>
    <w:next w:val="Text1"/>
    <w:pPr>
      <w:keepNext/>
      <w:tabs>
        <w:tab w:val="left" w:pos="850"/>
      </w:tabs>
      <w:ind w:left="850" w:hanging="850"/>
      <w:outlineLvl w:val="3"/>
    </w:pPr>
  </w:style>
  <w:style w:type="paragraph" w:customStyle="1" w:styleId="ChapterTitle">
    <w:name w:val="ChapterTitle"/>
    <w:basedOn w:val="Normln"/>
    <w:next w:val="Normln"/>
    <w:pPr>
      <w:keepNext/>
      <w:spacing w:after="360"/>
      <w:jc w:val="center"/>
    </w:pPr>
    <w:rPr>
      <w:b/>
      <w:sz w:val="32"/>
    </w:rPr>
  </w:style>
  <w:style w:type="paragraph" w:customStyle="1" w:styleId="PartTitle">
    <w:name w:val="PartTitle"/>
    <w:basedOn w:val="Normln"/>
    <w:next w:val="ChapterTitle"/>
    <w:pPr>
      <w:keepNext/>
      <w:pageBreakBefore/>
      <w:spacing w:after="360"/>
      <w:jc w:val="center"/>
    </w:pPr>
    <w:rPr>
      <w:b/>
      <w:sz w:val="36"/>
    </w:rPr>
  </w:style>
  <w:style w:type="paragraph" w:customStyle="1" w:styleId="SectionTitle">
    <w:name w:val="SectionTitle"/>
    <w:basedOn w:val="Normln"/>
    <w:next w:val="Nadpis1"/>
    <w:pPr>
      <w:keepNext/>
      <w:spacing w:after="360"/>
      <w:jc w:val="center"/>
    </w:pPr>
    <w:rPr>
      <w:b/>
      <w:smallCaps/>
      <w:sz w:val="28"/>
    </w:rPr>
  </w:style>
  <w:style w:type="paragraph" w:customStyle="1" w:styleId="TableTitle">
    <w:name w:val="Table Title"/>
    <w:basedOn w:val="Normln"/>
    <w:next w:val="Normln"/>
    <w:pPr>
      <w:jc w:val="center"/>
    </w:pPr>
    <w:rPr>
      <w:b/>
    </w:rPr>
  </w:style>
  <w:style w:type="character" w:customStyle="1" w:styleId="Marker">
    <w:name w:val="Marker"/>
    <w:basedOn w:val="Standardnpsmoodstavce"/>
    <w:rPr>
      <w:color w:val="0000FF"/>
      <w:shd w:val="clear" w:color="auto" w:fill="auto"/>
    </w:rPr>
  </w:style>
  <w:style w:type="character" w:customStyle="1" w:styleId="Marker1">
    <w:name w:val="Marker1"/>
    <w:basedOn w:val="Standardnpsmoodstavce"/>
    <w:rPr>
      <w:color w:val="008000"/>
      <w:shd w:val="clear" w:color="auto" w:fill="auto"/>
    </w:rPr>
  </w:style>
  <w:style w:type="character" w:customStyle="1" w:styleId="Marker2">
    <w:name w:val="Marker2"/>
    <w:basedOn w:val="Standardnpsmoodstavce"/>
    <w:rPr>
      <w:color w:val="FF0000"/>
      <w:shd w:val="clear" w:color="auto" w:fill="auto"/>
    </w:rPr>
  </w:style>
  <w:style w:type="paragraph" w:customStyle="1" w:styleId="Point0number">
    <w:name w:val="Point 0 (number)"/>
    <w:basedOn w:val="Normln"/>
    <w:pPr>
      <w:numPr>
        <w:numId w:val="18"/>
      </w:numPr>
    </w:pPr>
  </w:style>
  <w:style w:type="paragraph" w:customStyle="1" w:styleId="Point1number">
    <w:name w:val="Point 1 (number)"/>
    <w:basedOn w:val="Normln"/>
    <w:pPr>
      <w:numPr>
        <w:ilvl w:val="2"/>
        <w:numId w:val="18"/>
      </w:numPr>
    </w:pPr>
  </w:style>
  <w:style w:type="paragraph" w:customStyle="1" w:styleId="Point2number">
    <w:name w:val="Point 2 (number)"/>
    <w:basedOn w:val="Normln"/>
    <w:pPr>
      <w:numPr>
        <w:ilvl w:val="4"/>
        <w:numId w:val="18"/>
      </w:numPr>
    </w:pPr>
  </w:style>
  <w:style w:type="paragraph" w:customStyle="1" w:styleId="Point3number">
    <w:name w:val="Point 3 (number)"/>
    <w:basedOn w:val="Normln"/>
    <w:pPr>
      <w:numPr>
        <w:ilvl w:val="6"/>
        <w:numId w:val="18"/>
      </w:numPr>
    </w:pPr>
  </w:style>
  <w:style w:type="paragraph" w:customStyle="1" w:styleId="Point0letter">
    <w:name w:val="Point 0 (letter)"/>
    <w:basedOn w:val="Normln"/>
    <w:pPr>
      <w:numPr>
        <w:ilvl w:val="1"/>
        <w:numId w:val="18"/>
      </w:numPr>
    </w:pPr>
  </w:style>
  <w:style w:type="paragraph" w:customStyle="1" w:styleId="Point1letter">
    <w:name w:val="Point 1 (letter)"/>
    <w:basedOn w:val="Normln"/>
    <w:pPr>
      <w:numPr>
        <w:ilvl w:val="3"/>
        <w:numId w:val="18"/>
      </w:numPr>
    </w:pPr>
  </w:style>
  <w:style w:type="paragraph" w:customStyle="1" w:styleId="Point2letter">
    <w:name w:val="Point 2 (letter)"/>
    <w:basedOn w:val="Normln"/>
    <w:pPr>
      <w:numPr>
        <w:ilvl w:val="5"/>
        <w:numId w:val="18"/>
      </w:numPr>
    </w:pPr>
  </w:style>
  <w:style w:type="paragraph" w:customStyle="1" w:styleId="Point3letter">
    <w:name w:val="Point 3 (letter)"/>
    <w:basedOn w:val="Normln"/>
    <w:pPr>
      <w:numPr>
        <w:ilvl w:val="7"/>
        <w:numId w:val="18"/>
      </w:numPr>
    </w:pPr>
  </w:style>
  <w:style w:type="paragraph" w:customStyle="1" w:styleId="Point4letter">
    <w:name w:val="Point 4 (letter)"/>
    <w:basedOn w:val="Normln"/>
    <w:pPr>
      <w:numPr>
        <w:ilvl w:val="8"/>
        <w:numId w:val="18"/>
      </w:numPr>
    </w:pPr>
  </w:style>
  <w:style w:type="paragraph" w:customStyle="1" w:styleId="Bullet0">
    <w:name w:val="Bullet 0"/>
    <w:basedOn w:val="Normln"/>
    <w:pPr>
      <w:numPr>
        <w:numId w:val="19"/>
      </w:numPr>
    </w:pPr>
  </w:style>
  <w:style w:type="paragraph" w:customStyle="1" w:styleId="Bullet1">
    <w:name w:val="Bullet 1"/>
    <w:basedOn w:val="Normln"/>
    <w:pPr>
      <w:numPr>
        <w:numId w:val="20"/>
      </w:numPr>
    </w:pPr>
  </w:style>
  <w:style w:type="paragraph" w:customStyle="1" w:styleId="Bullet2">
    <w:name w:val="Bullet 2"/>
    <w:basedOn w:val="Normln"/>
    <w:pPr>
      <w:numPr>
        <w:numId w:val="21"/>
      </w:numPr>
    </w:pPr>
  </w:style>
  <w:style w:type="paragraph" w:customStyle="1" w:styleId="Bullet3">
    <w:name w:val="Bullet 3"/>
    <w:basedOn w:val="Normln"/>
    <w:pPr>
      <w:numPr>
        <w:numId w:val="22"/>
      </w:numPr>
    </w:pPr>
  </w:style>
  <w:style w:type="paragraph" w:customStyle="1" w:styleId="Bullet4">
    <w:name w:val="Bullet 4"/>
    <w:basedOn w:val="Normln"/>
    <w:pPr>
      <w:numPr>
        <w:numId w:val="23"/>
      </w:numPr>
    </w:pPr>
  </w:style>
  <w:style w:type="paragraph" w:customStyle="1" w:styleId="Annexetitreexpos">
    <w:name w:val="Annexe titre (exposé)"/>
    <w:basedOn w:val="Normln"/>
    <w:next w:val="Normln"/>
    <w:pPr>
      <w:jc w:val="center"/>
    </w:pPr>
    <w:rPr>
      <w:b/>
      <w:u w:val="single"/>
    </w:rPr>
  </w:style>
  <w:style w:type="paragraph" w:customStyle="1" w:styleId="Annexetitre">
    <w:name w:val="Annexe titre"/>
    <w:basedOn w:val="Normln"/>
    <w:next w:val="Normln"/>
    <w:pPr>
      <w:jc w:val="center"/>
    </w:pPr>
    <w:rPr>
      <w:b/>
      <w:u w:val="single"/>
    </w:rPr>
  </w:style>
  <w:style w:type="paragraph" w:customStyle="1" w:styleId="Annexetitrefichefinancire">
    <w:name w:val="Annexe titre (fiche financière)"/>
    <w:basedOn w:val="Normln"/>
    <w:next w:val="Normln"/>
    <w:pPr>
      <w:jc w:val="center"/>
    </w:pPr>
    <w:rPr>
      <w:b/>
      <w:u w:val="single"/>
    </w:rPr>
  </w:style>
  <w:style w:type="paragraph" w:customStyle="1" w:styleId="Applicationdirecte">
    <w:name w:val="Application directe"/>
    <w:basedOn w:val="Normln"/>
    <w:next w:val="Fait"/>
    <w:pPr>
      <w:spacing w:before="480"/>
    </w:pPr>
  </w:style>
  <w:style w:type="paragraph" w:customStyle="1" w:styleId="Avertissementtitre">
    <w:name w:val="Avertissement titre"/>
    <w:basedOn w:val="Normln"/>
    <w:next w:val="Normln"/>
    <w:pPr>
      <w:keepNext/>
      <w:spacing w:before="480"/>
    </w:pPr>
    <w:rPr>
      <w:u w:val="single"/>
    </w:rPr>
  </w:style>
  <w:style w:type="paragraph" w:customStyle="1" w:styleId="Confidence">
    <w:name w:val="Confidence"/>
    <w:basedOn w:val="Normln"/>
    <w:next w:val="Normln"/>
    <w:pPr>
      <w:spacing w:before="360"/>
      <w:jc w:val="center"/>
    </w:pPr>
  </w:style>
  <w:style w:type="paragraph" w:customStyle="1" w:styleId="Confidentialit">
    <w:name w:val="Confidentialité"/>
    <w:basedOn w:val="Normln"/>
    <w:next w:val="TypedudocumentPagedecouverture"/>
    <w:pPr>
      <w:spacing w:before="240" w:after="240"/>
      <w:ind w:left="5103"/>
      <w:jc w:val="left"/>
    </w:pPr>
    <w:rPr>
      <w:i/>
      <w:sz w:val="32"/>
    </w:rPr>
  </w:style>
  <w:style w:type="paragraph" w:customStyle="1" w:styleId="Considrant">
    <w:name w:val="Considérant"/>
    <w:basedOn w:val="Normln"/>
    <w:pPr>
      <w:numPr>
        <w:numId w:val="24"/>
      </w:numPr>
    </w:pPr>
  </w:style>
  <w:style w:type="paragraph" w:customStyle="1" w:styleId="Corrigendum">
    <w:name w:val="Corrigendum"/>
    <w:basedOn w:val="Normln"/>
    <w:next w:val="Normln"/>
    <w:pPr>
      <w:spacing w:before="0" w:after="240"/>
      <w:jc w:val="left"/>
    </w:pPr>
  </w:style>
  <w:style w:type="paragraph" w:customStyle="1" w:styleId="Datedadoption">
    <w:name w:val="Date d'adoption"/>
    <w:basedOn w:val="Normln"/>
    <w:next w:val="Titreobjet"/>
    <w:pPr>
      <w:spacing w:before="360" w:after="0"/>
      <w:jc w:val="center"/>
    </w:pPr>
    <w:rPr>
      <w:b/>
    </w:rPr>
  </w:style>
  <w:style w:type="paragraph" w:customStyle="1" w:styleId="Emission">
    <w:name w:val="Emission"/>
    <w:basedOn w:val="Normln"/>
    <w:next w:val="Rfrenceinstitutionnelle"/>
    <w:pPr>
      <w:spacing w:before="0" w:after="0"/>
      <w:ind w:left="5103"/>
      <w:jc w:val="left"/>
    </w:pPr>
  </w:style>
  <w:style w:type="paragraph" w:customStyle="1" w:styleId="Exposdesmotifstitre">
    <w:name w:val="Exposé des motifs titre"/>
    <w:basedOn w:val="Normln"/>
    <w:next w:val="Normln"/>
    <w:pPr>
      <w:jc w:val="center"/>
    </w:pPr>
    <w:rPr>
      <w:b/>
      <w:u w:val="single"/>
    </w:rPr>
  </w:style>
  <w:style w:type="paragraph" w:customStyle="1" w:styleId="Fait">
    <w:name w:val="Fait à"/>
    <w:basedOn w:val="Normln"/>
    <w:next w:val="Institutionquisigne"/>
    <w:pPr>
      <w:keepNext/>
      <w:spacing w:after="0"/>
    </w:pPr>
  </w:style>
  <w:style w:type="paragraph" w:customStyle="1" w:styleId="Formuledadoption">
    <w:name w:val="Formule d'adoption"/>
    <w:basedOn w:val="Normln"/>
    <w:next w:val="Titrearticle"/>
    <w:pPr>
      <w:keepNext/>
    </w:pPr>
  </w:style>
  <w:style w:type="paragraph" w:customStyle="1" w:styleId="Institutionquiagit">
    <w:name w:val="Institution qui agit"/>
    <w:basedOn w:val="Normln"/>
    <w:next w:val="Normln"/>
    <w:pPr>
      <w:keepNext/>
      <w:spacing w:before="600"/>
    </w:pPr>
  </w:style>
  <w:style w:type="paragraph" w:customStyle="1" w:styleId="Institutionquisigne">
    <w:name w:val="Institution qui signe"/>
    <w:basedOn w:val="Normln"/>
    <w:next w:val="Personnequisigne"/>
    <w:pPr>
      <w:keepNext/>
      <w:tabs>
        <w:tab w:val="left" w:pos="4252"/>
      </w:tabs>
      <w:spacing w:before="720" w:after="0"/>
    </w:pPr>
    <w:rPr>
      <w:i/>
    </w:rPr>
  </w:style>
  <w:style w:type="paragraph" w:customStyle="1" w:styleId="Langue">
    <w:name w:val="Langue"/>
    <w:basedOn w:val="Normln"/>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ln"/>
    <w:pPr>
      <w:ind w:left="709" w:hanging="709"/>
    </w:pPr>
  </w:style>
  <w:style w:type="paragraph" w:customStyle="1" w:styleId="Nomdelinstitution">
    <w:name w:val="Nom de l'institution"/>
    <w:basedOn w:val="Normln"/>
    <w:next w:val="Emission"/>
    <w:pPr>
      <w:spacing w:before="0" w:after="0"/>
      <w:jc w:val="left"/>
    </w:pPr>
    <w:rPr>
      <w:rFonts w:ascii="Arial" w:hAnsi="Arial" w:cs="Arial"/>
    </w:rPr>
  </w:style>
  <w:style w:type="paragraph" w:customStyle="1" w:styleId="Personnequisigne">
    <w:name w:val="Personne qui signe"/>
    <w:basedOn w:val="Normln"/>
    <w:next w:val="Institutionquisigne"/>
    <w:pPr>
      <w:tabs>
        <w:tab w:val="left" w:pos="4252"/>
      </w:tabs>
      <w:spacing w:before="0" w:after="0"/>
      <w:jc w:val="left"/>
    </w:pPr>
    <w:rPr>
      <w:i/>
    </w:rPr>
  </w:style>
  <w:style w:type="paragraph" w:customStyle="1" w:styleId="Rfrenceinstitutionnelle">
    <w:name w:val="Référence institutionnelle"/>
    <w:basedOn w:val="Normln"/>
    <w:next w:val="Confidentialit"/>
    <w:pPr>
      <w:spacing w:before="0" w:after="240"/>
      <w:ind w:left="5103"/>
      <w:jc w:val="left"/>
    </w:pPr>
  </w:style>
  <w:style w:type="paragraph" w:customStyle="1" w:styleId="Rfrenceinterinstitutionnelle">
    <w:name w:val="Référence interinstitutionnelle"/>
    <w:basedOn w:val="Normln"/>
    <w:next w:val="Statut"/>
    <w:pPr>
      <w:spacing w:before="0" w:after="0"/>
      <w:ind w:left="5103"/>
      <w:jc w:val="left"/>
    </w:pPr>
  </w:style>
  <w:style w:type="paragraph" w:customStyle="1" w:styleId="Rfrenceinterne">
    <w:name w:val="Référence interne"/>
    <w:basedOn w:val="Normln"/>
    <w:next w:val="Rfrenceinterinstitutionnelle"/>
    <w:pPr>
      <w:spacing w:before="0" w:after="0"/>
      <w:ind w:left="5103"/>
      <w:jc w:val="left"/>
    </w:pPr>
  </w:style>
  <w:style w:type="paragraph" w:customStyle="1" w:styleId="Sous-titreobjet">
    <w:name w:val="Sous-titre objet"/>
    <w:basedOn w:val="Normln"/>
    <w:pPr>
      <w:spacing w:before="0" w:after="0"/>
      <w:jc w:val="center"/>
    </w:pPr>
    <w:rPr>
      <w:b/>
    </w:rPr>
  </w:style>
  <w:style w:type="paragraph" w:customStyle="1" w:styleId="Statut">
    <w:name w:val="Statut"/>
    <w:basedOn w:val="Normln"/>
    <w:next w:val="Typedudocument"/>
    <w:pPr>
      <w:spacing w:before="360" w:after="0"/>
      <w:jc w:val="center"/>
    </w:pPr>
  </w:style>
  <w:style w:type="paragraph" w:customStyle="1" w:styleId="Titrearticle">
    <w:name w:val="Titre article"/>
    <w:basedOn w:val="Normln"/>
    <w:next w:val="Normln"/>
    <w:pPr>
      <w:keepNext/>
      <w:spacing w:before="360"/>
      <w:jc w:val="center"/>
    </w:pPr>
    <w:rPr>
      <w:i/>
    </w:rPr>
  </w:style>
  <w:style w:type="paragraph" w:customStyle="1" w:styleId="Titreobjet">
    <w:name w:val="Titre objet"/>
    <w:basedOn w:val="Normln"/>
    <w:next w:val="Sous-titreobjet"/>
    <w:pPr>
      <w:spacing w:before="360" w:after="360"/>
      <w:jc w:val="center"/>
    </w:pPr>
    <w:rPr>
      <w:b/>
    </w:rPr>
  </w:style>
  <w:style w:type="paragraph" w:customStyle="1" w:styleId="Typedudocument">
    <w:name w:val="Type du document"/>
    <w:basedOn w:val="Normln"/>
    <w:next w:val="Titreobjet"/>
    <w:pPr>
      <w:spacing w:before="360" w:after="0"/>
      <w:jc w:val="center"/>
    </w:pPr>
    <w:rPr>
      <w:b/>
    </w:rPr>
  </w:style>
  <w:style w:type="character" w:customStyle="1" w:styleId="Added">
    <w:name w:val="Added"/>
    <w:basedOn w:val="Standardnpsmoodstavce"/>
    <w:rPr>
      <w:b/>
      <w:u w:val="single"/>
      <w:shd w:val="clear" w:color="auto" w:fill="auto"/>
    </w:rPr>
  </w:style>
  <w:style w:type="character" w:customStyle="1" w:styleId="Deleted">
    <w:name w:val="Deleted"/>
    <w:basedOn w:val="Standardnpsmoodstavce"/>
    <w:rPr>
      <w:strike/>
      <w:dstrike w:val="0"/>
      <w:shd w:val="clear" w:color="auto" w:fill="auto"/>
    </w:rPr>
  </w:style>
  <w:style w:type="paragraph" w:customStyle="1" w:styleId="Address">
    <w:name w:val="Address"/>
    <w:basedOn w:val="Normln"/>
    <w:next w:val="Normln"/>
    <w:pPr>
      <w:keepLines/>
      <w:spacing w:line="360" w:lineRule="auto"/>
      <w:ind w:left="3402"/>
      <w:jc w:val="left"/>
    </w:pPr>
  </w:style>
  <w:style w:type="paragraph" w:customStyle="1" w:styleId="Objetexterne">
    <w:name w:val="Objet externe"/>
    <w:basedOn w:val="Normln"/>
    <w:next w:val="Normln"/>
    <w:rPr>
      <w:i/>
      <w:caps/>
    </w:rPr>
  </w:style>
  <w:style w:type="paragraph" w:customStyle="1" w:styleId="Pagedecouverture">
    <w:name w:val="Page de couverture"/>
    <w:basedOn w:val="Normln"/>
    <w:next w:val="Normln"/>
    <w:pPr>
      <w:spacing w:before="0" w:after="0"/>
    </w:pPr>
  </w:style>
  <w:style w:type="paragraph" w:customStyle="1" w:styleId="Supertitre">
    <w:name w:val="Supertitre"/>
    <w:basedOn w:val="Normln"/>
    <w:next w:val="Normln"/>
    <w:pPr>
      <w:spacing w:before="0" w:after="600"/>
      <w:jc w:val="center"/>
    </w:pPr>
    <w:rPr>
      <w:b/>
    </w:rPr>
  </w:style>
  <w:style w:type="paragraph" w:customStyle="1" w:styleId="Languesfaisantfoi">
    <w:name w:val="Langues faisant foi"/>
    <w:basedOn w:val="Normln"/>
    <w:next w:val="Normln"/>
    <w:pPr>
      <w:spacing w:before="360" w:after="0"/>
      <w:jc w:val="center"/>
    </w:pPr>
  </w:style>
  <w:style w:type="paragraph" w:customStyle="1" w:styleId="Rfrencecroise">
    <w:name w:val="Référence croisée"/>
    <w:basedOn w:val="Normln"/>
    <w:pPr>
      <w:spacing w:before="0" w:after="0"/>
      <w:jc w:val="center"/>
    </w:pPr>
  </w:style>
  <w:style w:type="paragraph" w:customStyle="1" w:styleId="Fichefinanciretitre">
    <w:name w:val="Fiche financière titre"/>
    <w:basedOn w:val="Normln"/>
    <w:next w:val="Normln"/>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ln"/>
    <w:next w:val="Confidentialit"/>
    <w:pPr>
      <w:spacing w:before="0" w:after="240"/>
      <w:ind w:left="5103"/>
      <w:jc w:val="left"/>
    </w:pPr>
  </w:style>
  <w:style w:type="paragraph" w:customStyle="1" w:styleId="IntrtEEE">
    <w:name w:val="Intérêt EEE"/>
    <w:basedOn w:val="Languesfaisantfoi"/>
    <w:next w:val="Normln"/>
    <w:pPr>
      <w:spacing w:after="240"/>
    </w:pPr>
  </w:style>
  <w:style w:type="paragraph" w:customStyle="1" w:styleId="Accompagnant">
    <w:name w:val="Accompagnant"/>
    <w:basedOn w:val="Normln"/>
    <w:next w:val="Typeacteprincipal"/>
    <w:pPr>
      <w:spacing w:before="0" w:after="240"/>
      <w:jc w:val="center"/>
    </w:pPr>
    <w:rPr>
      <w:b/>
      <w:i/>
    </w:rPr>
  </w:style>
  <w:style w:type="paragraph" w:customStyle="1" w:styleId="Typeacteprincipal">
    <w:name w:val="Type acte principal"/>
    <w:basedOn w:val="Normln"/>
    <w:next w:val="Objetacteprincipal"/>
    <w:pPr>
      <w:spacing w:before="0" w:after="240"/>
      <w:jc w:val="center"/>
    </w:pPr>
    <w:rPr>
      <w:b/>
    </w:rPr>
  </w:style>
  <w:style w:type="paragraph" w:customStyle="1" w:styleId="Objetacteprincipal">
    <w:name w:val="Objet acte principal"/>
    <w:basedOn w:val="Normln"/>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ln"/>
    <w:next w:val="Normln"/>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before="120" w:after="120" w:line="240" w:lineRule="auto"/>
      <w:jc w:val="both"/>
    </w:pPr>
    <w:rPr>
      <w:rFonts w:ascii="Times New Roman" w:hAnsi="Times New Roman" w:cs="Times New Roman"/>
      <w:sz w:val="24"/>
    </w:rPr>
  </w:style>
  <w:style w:type="paragraph" w:styleId="Nadpis1">
    <w:name w:val="heading 1"/>
    <w:basedOn w:val="Normln"/>
    <w:next w:val="Text1"/>
    <w:link w:val="Nadpis1Char"/>
    <w:uiPriority w:val="9"/>
    <w:qFormat/>
    <w:pPr>
      <w:keepNext/>
      <w:numPr>
        <w:numId w:val="17"/>
      </w:numPr>
      <w:spacing w:before="360"/>
      <w:outlineLvl w:val="0"/>
    </w:pPr>
    <w:rPr>
      <w:rFonts w:eastAsiaTheme="majorEastAsia"/>
      <w:b/>
      <w:bCs/>
      <w:smallCaps/>
      <w:szCs w:val="28"/>
    </w:rPr>
  </w:style>
  <w:style w:type="paragraph" w:styleId="Nadpis2">
    <w:name w:val="heading 2"/>
    <w:basedOn w:val="Normln"/>
    <w:next w:val="Text1"/>
    <w:link w:val="Nadpis2Char"/>
    <w:uiPriority w:val="9"/>
    <w:semiHidden/>
    <w:unhideWhenUsed/>
    <w:qFormat/>
    <w:pPr>
      <w:keepNext/>
      <w:numPr>
        <w:ilvl w:val="1"/>
        <w:numId w:val="17"/>
      </w:numPr>
      <w:outlineLvl w:val="1"/>
    </w:pPr>
    <w:rPr>
      <w:rFonts w:eastAsiaTheme="majorEastAsia"/>
      <w:b/>
      <w:bCs/>
      <w:szCs w:val="26"/>
    </w:rPr>
  </w:style>
  <w:style w:type="paragraph" w:styleId="Nadpis3">
    <w:name w:val="heading 3"/>
    <w:basedOn w:val="Normln"/>
    <w:next w:val="Text1"/>
    <w:link w:val="Nadpis3Char"/>
    <w:uiPriority w:val="9"/>
    <w:semiHidden/>
    <w:unhideWhenUsed/>
    <w:qFormat/>
    <w:pPr>
      <w:keepNext/>
      <w:numPr>
        <w:ilvl w:val="2"/>
        <w:numId w:val="17"/>
      </w:numPr>
      <w:outlineLvl w:val="2"/>
    </w:pPr>
    <w:rPr>
      <w:rFonts w:eastAsiaTheme="majorEastAsia"/>
      <w:bCs/>
      <w:i/>
    </w:rPr>
  </w:style>
  <w:style w:type="paragraph" w:styleId="Nadpis4">
    <w:name w:val="heading 4"/>
    <w:basedOn w:val="Normln"/>
    <w:next w:val="Text1"/>
    <w:link w:val="Nadpis4Char"/>
    <w:uiPriority w:val="9"/>
    <w:semiHidden/>
    <w:unhideWhenUsed/>
    <w:qFormat/>
    <w:pPr>
      <w:keepNext/>
      <w:numPr>
        <w:ilvl w:val="3"/>
        <w:numId w:val="17"/>
      </w:numPr>
      <w:outlineLvl w:val="3"/>
    </w:pPr>
    <w:rPr>
      <w:rFonts w:eastAsiaTheme="majorEastAsia"/>
      <w:bCs/>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istDash">
    <w:name w:val="List Dash"/>
    <w:basedOn w:val="Normln"/>
    <w:pPr>
      <w:numPr>
        <w:numId w:val="1"/>
      </w:numPr>
    </w:pPr>
    <w:rPr>
      <w:rFonts w:eastAsia="Times New Roman"/>
      <w:szCs w:val="24"/>
    </w:rPr>
  </w:style>
  <w:style w:type="paragraph" w:styleId="Titulek">
    <w:name w:val="caption"/>
    <w:basedOn w:val="Normln"/>
    <w:next w:val="Normln"/>
    <w:uiPriority w:val="35"/>
    <w:semiHidden/>
    <w:unhideWhenUsed/>
    <w:qFormat/>
    <w:pPr>
      <w:spacing w:before="0" w:after="200"/>
    </w:pPr>
    <w:rPr>
      <w:b/>
      <w:bCs/>
      <w:color w:val="4F81BD" w:themeColor="accent1"/>
      <w:sz w:val="18"/>
      <w:szCs w:val="18"/>
    </w:rPr>
  </w:style>
  <w:style w:type="paragraph" w:styleId="Seznamobrzk">
    <w:name w:val="table of figures"/>
    <w:basedOn w:val="Normln"/>
    <w:next w:val="Normln"/>
    <w:uiPriority w:val="99"/>
    <w:semiHidden/>
    <w:unhideWhenUsed/>
    <w:pPr>
      <w:spacing w:after="0"/>
    </w:pPr>
  </w:style>
  <w:style w:type="paragraph" w:styleId="Seznamsodrkami">
    <w:name w:val="List Bullet"/>
    <w:basedOn w:val="Normln"/>
    <w:uiPriority w:val="99"/>
    <w:semiHidden/>
    <w:unhideWhenUsed/>
    <w:pPr>
      <w:numPr>
        <w:numId w:val="2"/>
      </w:numPr>
      <w:contextualSpacing/>
    </w:pPr>
  </w:style>
  <w:style w:type="paragraph" w:styleId="Seznamsodrkami2">
    <w:name w:val="List Bullet 2"/>
    <w:basedOn w:val="Normln"/>
    <w:uiPriority w:val="99"/>
    <w:semiHidden/>
    <w:unhideWhenUsed/>
    <w:pPr>
      <w:numPr>
        <w:numId w:val="3"/>
      </w:numPr>
      <w:contextualSpacing/>
    </w:pPr>
  </w:style>
  <w:style w:type="paragraph" w:styleId="Seznamsodrkami3">
    <w:name w:val="List Bullet 3"/>
    <w:basedOn w:val="Normln"/>
    <w:uiPriority w:val="99"/>
    <w:semiHidden/>
    <w:unhideWhenUsed/>
    <w:pPr>
      <w:numPr>
        <w:numId w:val="4"/>
      </w:numPr>
      <w:contextualSpacing/>
    </w:pPr>
  </w:style>
  <w:style w:type="paragraph" w:styleId="Seznamsodrkami4">
    <w:name w:val="List Bullet 4"/>
    <w:basedOn w:val="Normln"/>
    <w:uiPriority w:val="99"/>
    <w:semiHidden/>
    <w:unhideWhenUsed/>
    <w:pPr>
      <w:numPr>
        <w:numId w:val="5"/>
      </w:numPr>
      <w:contextualSpacing/>
    </w:pPr>
  </w:style>
  <w:style w:type="paragraph" w:styleId="slovanseznam">
    <w:name w:val="List Number"/>
    <w:basedOn w:val="Normln"/>
    <w:uiPriority w:val="99"/>
    <w:semiHidden/>
    <w:unhideWhenUsed/>
    <w:pPr>
      <w:numPr>
        <w:numId w:val="6"/>
      </w:numPr>
      <w:contextualSpacing/>
    </w:pPr>
  </w:style>
  <w:style w:type="paragraph" w:styleId="slovanseznam2">
    <w:name w:val="List Number 2"/>
    <w:basedOn w:val="Normln"/>
    <w:uiPriority w:val="99"/>
    <w:semiHidden/>
    <w:unhideWhenUsed/>
    <w:pPr>
      <w:numPr>
        <w:numId w:val="7"/>
      </w:numPr>
      <w:contextualSpacing/>
    </w:pPr>
  </w:style>
  <w:style w:type="paragraph" w:styleId="slovanseznam3">
    <w:name w:val="List Number 3"/>
    <w:basedOn w:val="Normln"/>
    <w:uiPriority w:val="99"/>
    <w:semiHidden/>
    <w:unhideWhenUsed/>
    <w:pPr>
      <w:numPr>
        <w:numId w:val="8"/>
      </w:numPr>
      <w:contextualSpacing/>
    </w:pPr>
  </w:style>
  <w:style w:type="paragraph" w:styleId="slovanseznam4">
    <w:name w:val="List Number 4"/>
    <w:basedOn w:val="Normln"/>
    <w:uiPriority w:val="99"/>
    <w:semiHidden/>
    <w:unhideWhenUsed/>
    <w:pPr>
      <w:numPr>
        <w:numId w:val="9"/>
      </w:numPr>
      <w:contextualSpacing/>
    </w:p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rFonts w:ascii="Times New Roman" w:hAnsi="Times New Roman" w:cs="Times New Roman"/>
      <w:sz w:val="20"/>
      <w:szCs w:val="20"/>
      <w:lang w:val="cs-CZ"/>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rFonts w:ascii="Times New Roman" w:hAnsi="Times New Roman" w:cs="Times New Roman"/>
      <w:b/>
      <w:bCs/>
      <w:sz w:val="20"/>
      <w:szCs w:val="20"/>
      <w:lang w:val="cs-CZ"/>
    </w:rPr>
  </w:style>
  <w:style w:type="character" w:styleId="Hypertextovodkaz">
    <w:name w:val="Hyperlink"/>
    <w:basedOn w:val="Standardnpsmoodstavce"/>
    <w:uiPriority w:val="99"/>
    <w:unhideWhenUsed/>
    <w:rPr>
      <w:color w:val="0000FF" w:themeColor="hyperlink"/>
      <w:u w:val="single"/>
    </w:rPr>
  </w:style>
  <w:style w:type="paragraph" w:styleId="Textbubliny">
    <w:name w:val="Balloon Text"/>
    <w:basedOn w:val="Normln"/>
    <w:link w:val="TextbublinyChar"/>
    <w:uiPriority w:val="99"/>
    <w:semiHidden/>
    <w:unhideWhenUsed/>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lang w:val="cs-CZ"/>
    </w:rPr>
  </w:style>
  <w:style w:type="paragraph" w:styleId="Zhlav">
    <w:name w:val="header"/>
    <w:basedOn w:val="Normln"/>
    <w:link w:val="ZhlavChar"/>
    <w:uiPriority w:val="99"/>
    <w:unhideWhenUsed/>
    <w:pPr>
      <w:tabs>
        <w:tab w:val="center" w:pos="4535"/>
        <w:tab w:val="right" w:pos="9071"/>
      </w:tabs>
      <w:spacing w:before="0"/>
    </w:pPr>
    <w:rPr>
      <w:lang w:eastAsia="en-US" w:bidi="ar-SA"/>
    </w:rPr>
  </w:style>
  <w:style w:type="character" w:customStyle="1" w:styleId="ZhlavChar">
    <w:name w:val="Záhlaví Char"/>
    <w:basedOn w:val="Standardnpsmoodstavce"/>
    <w:link w:val="Zhlav"/>
    <w:uiPriority w:val="99"/>
    <w:rPr>
      <w:rFonts w:ascii="Times New Roman" w:hAnsi="Times New Roman" w:cs="Times New Roman"/>
      <w:sz w:val="24"/>
      <w:lang w:eastAsia="en-US" w:bidi="ar-SA"/>
    </w:rPr>
  </w:style>
  <w:style w:type="paragraph" w:styleId="Zpat">
    <w:name w:val="footer"/>
    <w:basedOn w:val="Normln"/>
    <w:link w:val="ZpatChar"/>
    <w:uiPriority w:val="99"/>
    <w:unhideWhenUsed/>
    <w:pPr>
      <w:tabs>
        <w:tab w:val="center" w:pos="4535"/>
        <w:tab w:val="right" w:pos="9071"/>
        <w:tab w:val="right" w:pos="9921"/>
      </w:tabs>
      <w:spacing w:before="360" w:after="0"/>
      <w:ind w:left="-850" w:right="-850"/>
      <w:jc w:val="left"/>
    </w:pPr>
  </w:style>
  <w:style w:type="character" w:customStyle="1" w:styleId="ZpatChar">
    <w:name w:val="Zápatí Char"/>
    <w:basedOn w:val="Standardnpsmoodstavce"/>
    <w:link w:val="Zpat"/>
    <w:uiPriority w:val="99"/>
    <w:rPr>
      <w:rFonts w:ascii="Times New Roman" w:hAnsi="Times New Roman" w:cs="Times New Roman"/>
      <w:sz w:val="24"/>
      <w:shd w:val="clear" w:color="auto" w:fill="auto"/>
      <w:lang w:val="en-GB"/>
    </w:rPr>
  </w:style>
  <w:style w:type="paragraph" w:styleId="Textpoznpodarou">
    <w:name w:val="footnote text"/>
    <w:basedOn w:val="Normln"/>
    <w:link w:val="TextpoznpodarouChar"/>
    <w:uiPriority w:val="99"/>
    <w:semiHidden/>
    <w:unhideWhenUsed/>
    <w:pPr>
      <w:spacing w:before="0" w:after="0"/>
      <w:ind w:left="720" w:hanging="720"/>
    </w:pPr>
    <w:rPr>
      <w:sz w:val="20"/>
      <w:szCs w:val="20"/>
    </w:rPr>
  </w:style>
  <w:style w:type="character" w:customStyle="1" w:styleId="TextpoznpodarouChar">
    <w:name w:val="Text pozn. pod čarou Char"/>
    <w:basedOn w:val="Standardnpsmoodstavce"/>
    <w:link w:val="Textpoznpodarou"/>
    <w:uiPriority w:val="99"/>
    <w:semiHidden/>
    <w:rPr>
      <w:rFonts w:ascii="Times New Roman" w:hAnsi="Times New Roman" w:cs="Times New Roman"/>
      <w:sz w:val="20"/>
      <w:szCs w:val="20"/>
      <w:shd w:val="clear" w:color="auto" w:fill="auto"/>
      <w:lang w:val="en-GB"/>
    </w:rPr>
  </w:style>
  <w:style w:type="character" w:customStyle="1" w:styleId="Nadpis1Char">
    <w:name w:val="Nadpis 1 Char"/>
    <w:basedOn w:val="Standardnpsmoodstavce"/>
    <w:link w:val="Nadpis1"/>
    <w:uiPriority w:val="9"/>
    <w:rPr>
      <w:rFonts w:ascii="Times New Roman" w:eastAsiaTheme="majorEastAsia" w:hAnsi="Times New Roman" w:cs="Times New Roman"/>
      <w:b/>
      <w:bCs/>
      <w:smallCaps/>
      <w:sz w:val="24"/>
      <w:szCs w:val="28"/>
      <w:lang w:val="en-GB"/>
    </w:rPr>
  </w:style>
  <w:style w:type="character" w:customStyle="1" w:styleId="Nadpis2Char">
    <w:name w:val="Nadpis 2 Char"/>
    <w:basedOn w:val="Standardnpsmoodstavce"/>
    <w:link w:val="Nadpis2"/>
    <w:uiPriority w:val="9"/>
    <w:semiHidden/>
    <w:rPr>
      <w:rFonts w:ascii="Times New Roman" w:eastAsiaTheme="majorEastAsia" w:hAnsi="Times New Roman" w:cs="Times New Roman"/>
      <w:b/>
      <w:bCs/>
      <w:sz w:val="24"/>
      <w:szCs w:val="26"/>
      <w:lang w:val="en-GB"/>
    </w:rPr>
  </w:style>
  <w:style w:type="character" w:customStyle="1" w:styleId="Nadpis3Char">
    <w:name w:val="Nadpis 3 Char"/>
    <w:basedOn w:val="Standardnpsmoodstavce"/>
    <w:link w:val="Nadpis3"/>
    <w:uiPriority w:val="9"/>
    <w:semiHidden/>
    <w:rPr>
      <w:rFonts w:ascii="Times New Roman" w:eastAsiaTheme="majorEastAsia" w:hAnsi="Times New Roman" w:cs="Times New Roman"/>
      <w:bCs/>
      <w:i/>
      <w:sz w:val="24"/>
      <w:lang w:val="en-GB"/>
    </w:rPr>
  </w:style>
  <w:style w:type="character" w:customStyle="1" w:styleId="Nadpis4Char">
    <w:name w:val="Nadpis 4 Char"/>
    <w:basedOn w:val="Standardnpsmoodstavce"/>
    <w:link w:val="Nadpis4"/>
    <w:uiPriority w:val="9"/>
    <w:semiHidden/>
    <w:rPr>
      <w:rFonts w:ascii="Times New Roman" w:eastAsiaTheme="majorEastAsia" w:hAnsi="Times New Roman" w:cs="Times New Roman"/>
      <w:bCs/>
      <w:iCs/>
      <w:sz w:val="24"/>
      <w:lang w:val="en-GB"/>
    </w:rPr>
  </w:style>
  <w:style w:type="paragraph" w:styleId="Nadpisobsahu">
    <w:name w:val="TOC Heading"/>
    <w:basedOn w:val="Normln"/>
    <w:next w:val="Normln"/>
    <w:uiPriority w:val="39"/>
    <w:semiHidden/>
    <w:unhideWhenUsed/>
    <w:qFormat/>
    <w:pPr>
      <w:spacing w:after="240"/>
      <w:jc w:val="center"/>
    </w:pPr>
    <w:rPr>
      <w:b/>
      <w:sz w:val="28"/>
    </w:rPr>
  </w:style>
  <w:style w:type="paragraph" w:styleId="Obsah1">
    <w:name w:val="toc 1"/>
    <w:basedOn w:val="Normln"/>
    <w:next w:val="Normln"/>
    <w:uiPriority w:val="39"/>
    <w:semiHidden/>
    <w:unhideWhenUsed/>
    <w:pPr>
      <w:tabs>
        <w:tab w:val="right" w:leader="dot" w:pos="9071"/>
      </w:tabs>
      <w:spacing w:before="60"/>
      <w:ind w:left="850" w:hanging="850"/>
      <w:jc w:val="left"/>
    </w:pPr>
  </w:style>
  <w:style w:type="paragraph" w:styleId="Obsah2">
    <w:name w:val="toc 2"/>
    <w:basedOn w:val="Normln"/>
    <w:next w:val="Normln"/>
    <w:uiPriority w:val="39"/>
    <w:semiHidden/>
    <w:unhideWhenUsed/>
    <w:pPr>
      <w:tabs>
        <w:tab w:val="right" w:leader="dot" w:pos="9071"/>
      </w:tabs>
      <w:spacing w:before="60"/>
      <w:ind w:left="850" w:hanging="850"/>
      <w:jc w:val="left"/>
    </w:pPr>
  </w:style>
  <w:style w:type="paragraph" w:styleId="Obsah3">
    <w:name w:val="toc 3"/>
    <w:basedOn w:val="Normln"/>
    <w:next w:val="Normln"/>
    <w:uiPriority w:val="39"/>
    <w:semiHidden/>
    <w:unhideWhenUsed/>
    <w:pPr>
      <w:tabs>
        <w:tab w:val="right" w:leader="dot" w:pos="9071"/>
      </w:tabs>
      <w:spacing w:before="60"/>
      <w:ind w:left="850" w:hanging="850"/>
      <w:jc w:val="left"/>
    </w:pPr>
  </w:style>
  <w:style w:type="paragraph" w:styleId="Obsah4">
    <w:name w:val="toc 4"/>
    <w:basedOn w:val="Normln"/>
    <w:next w:val="Normln"/>
    <w:uiPriority w:val="39"/>
    <w:semiHidden/>
    <w:unhideWhenUsed/>
    <w:pPr>
      <w:tabs>
        <w:tab w:val="right" w:leader="dot" w:pos="9071"/>
      </w:tabs>
      <w:spacing w:before="60"/>
      <w:ind w:left="850" w:hanging="850"/>
      <w:jc w:val="left"/>
    </w:pPr>
  </w:style>
  <w:style w:type="paragraph" w:styleId="Obsah5">
    <w:name w:val="toc 5"/>
    <w:basedOn w:val="Normln"/>
    <w:next w:val="Normln"/>
    <w:uiPriority w:val="39"/>
    <w:semiHidden/>
    <w:unhideWhenUsed/>
    <w:pPr>
      <w:tabs>
        <w:tab w:val="right" w:leader="dot" w:pos="9071"/>
      </w:tabs>
      <w:spacing w:before="300"/>
      <w:jc w:val="left"/>
    </w:pPr>
  </w:style>
  <w:style w:type="paragraph" w:styleId="Obsah6">
    <w:name w:val="toc 6"/>
    <w:basedOn w:val="Normln"/>
    <w:next w:val="Normln"/>
    <w:uiPriority w:val="39"/>
    <w:semiHidden/>
    <w:unhideWhenUsed/>
    <w:pPr>
      <w:tabs>
        <w:tab w:val="right" w:leader="dot" w:pos="9071"/>
      </w:tabs>
      <w:spacing w:before="240"/>
      <w:jc w:val="left"/>
    </w:pPr>
  </w:style>
  <w:style w:type="paragraph" w:styleId="Obsah7">
    <w:name w:val="toc 7"/>
    <w:basedOn w:val="Normln"/>
    <w:next w:val="Normln"/>
    <w:uiPriority w:val="39"/>
    <w:semiHidden/>
    <w:unhideWhenUsed/>
    <w:pPr>
      <w:tabs>
        <w:tab w:val="right" w:leader="dot" w:pos="9071"/>
      </w:tabs>
      <w:spacing w:before="180"/>
      <w:jc w:val="left"/>
    </w:pPr>
  </w:style>
  <w:style w:type="paragraph" w:styleId="Obsah8">
    <w:name w:val="toc 8"/>
    <w:basedOn w:val="Normln"/>
    <w:next w:val="Normln"/>
    <w:uiPriority w:val="39"/>
    <w:semiHidden/>
    <w:unhideWhenUsed/>
    <w:pPr>
      <w:tabs>
        <w:tab w:val="right" w:leader="dot" w:pos="9071"/>
      </w:tabs>
      <w:jc w:val="left"/>
    </w:pPr>
  </w:style>
  <w:style w:type="paragraph" w:styleId="Obsah9">
    <w:name w:val="toc 9"/>
    <w:basedOn w:val="Normln"/>
    <w:next w:val="Normln"/>
    <w:uiPriority w:val="39"/>
    <w:semiHidden/>
    <w:unhideWhenUsed/>
    <w:pPr>
      <w:tabs>
        <w:tab w:val="right" w:leader="dot" w:pos="9071"/>
      </w:tabs>
    </w:pPr>
  </w:style>
  <w:style w:type="paragraph" w:customStyle="1" w:styleId="HeaderLandscape">
    <w:name w:val="HeaderLandscape"/>
    <w:basedOn w:val="Normln"/>
    <w:pPr>
      <w:tabs>
        <w:tab w:val="center" w:pos="7285"/>
        <w:tab w:val="right" w:pos="14003"/>
      </w:tabs>
      <w:spacing w:before="0"/>
    </w:pPr>
    <w:rPr>
      <w:lang w:eastAsia="en-US" w:bidi="ar-SA"/>
    </w:rPr>
  </w:style>
  <w:style w:type="paragraph" w:customStyle="1" w:styleId="FooterLandscape">
    <w:name w:val="FooterLandscape"/>
    <w:basedOn w:val="Normln"/>
    <w:pPr>
      <w:tabs>
        <w:tab w:val="center" w:pos="7285"/>
        <w:tab w:val="center" w:pos="10913"/>
        <w:tab w:val="right" w:pos="15137"/>
      </w:tabs>
      <w:spacing w:before="360" w:after="0"/>
      <w:ind w:left="-567" w:right="-567"/>
      <w:jc w:val="left"/>
    </w:pPr>
  </w:style>
  <w:style w:type="character" w:styleId="Znakapoznpodarou">
    <w:name w:val="footnote reference"/>
    <w:basedOn w:val="Standardnpsmoodstavce"/>
    <w:uiPriority w:val="99"/>
    <w:semiHidden/>
    <w:unhideWhenUsed/>
    <w:rPr>
      <w:shd w:val="clear" w:color="auto" w:fill="auto"/>
      <w:vertAlign w:val="superscript"/>
    </w:rPr>
  </w:style>
  <w:style w:type="paragraph" w:customStyle="1" w:styleId="Text1">
    <w:name w:val="Text 1"/>
    <w:basedOn w:val="Normln"/>
    <w:pPr>
      <w:ind w:left="850"/>
    </w:pPr>
  </w:style>
  <w:style w:type="paragraph" w:customStyle="1" w:styleId="Text2">
    <w:name w:val="Text 2"/>
    <w:basedOn w:val="Normln"/>
    <w:pPr>
      <w:ind w:left="1417"/>
    </w:pPr>
  </w:style>
  <w:style w:type="paragraph" w:customStyle="1" w:styleId="Text3">
    <w:name w:val="Text 3"/>
    <w:basedOn w:val="Normln"/>
    <w:pPr>
      <w:ind w:left="1984"/>
    </w:pPr>
  </w:style>
  <w:style w:type="paragraph" w:customStyle="1" w:styleId="Text4">
    <w:name w:val="Text 4"/>
    <w:basedOn w:val="Normln"/>
    <w:pPr>
      <w:ind w:left="2551"/>
    </w:pPr>
  </w:style>
  <w:style w:type="paragraph" w:customStyle="1" w:styleId="NormalCentered">
    <w:name w:val="Normal Centered"/>
    <w:basedOn w:val="Normln"/>
    <w:pPr>
      <w:jc w:val="center"/>
    </w:pPr>
  </w:style>
  <w:style w:type="paragraph" w:customStyle="1" w:styleId="NormalLeft">
    <w:name w:val="Normal Left"/>
    <w:basedOn w:val="Normln"/>
    <w:pPr>
      <w:jc w:val="left"/>
    </w:pPr>
  </w:style>
  <w:style w:type="paragraph" w:customStyle="1" w:styleId="NormalRight">
    <w:name w:val="Normal Right"/>
    <w:basedOn w:val="Normln"/>
    <w:pPr>
      <w:jc w:val="right"/>
    </w:pPr>
  </w:style>
  <w:style w:type="paragraph" w:customStyle="1" w:styleId="QuotedText">
    <w:name w:val="Quoted Text"/>
    <w:basedOn w:val="Normln"/>
    <w:pPr>
      <w:ind w:left="1417"/>
    </w:pPr>
  </w:style>
  <w:style w:type="paragraph" w:customStyle="1" w:styleId="Point0">
    <w:name w:val="Point 0"/>
    <w:basedOn w:val="Normln"/>
    <w:pPr>
      <w:ind w:left="850" w:hanging="850"/>
    </w:pPr>
  </w:style>
  <w:style w:type="paragraph" w:customStyle="1" w:styleId="Point1">
    <w:name w:val="Point 1"/>
    <w:basedOn w:val="Normln"/>
    <w:pPr>
      <w:ind w:left="1417" w:hanging="567"/>
    </w:pPr>
  </w:style>
  <w:style w:type="paragraph" w:customStyle="1" w:styleId="Point2">
    <w:name w:val="Point 2"/>
    <w:basedOn w:val="Normln"/>
    <w:pPr>
      <w:ind w:left="1984" w:hanging="567"/>
    </w:pPr>
  </w:style>
  <w:style w:type="paragraph" w:customStyle="1" w:styleId="Point3">
    <w:name w:val="Point 3"/>
    <w:basedOn w:val="Normln"/>
    <w:pPr>
      <w:ind w:left="2551" w:hanging="567"/>
    </w:pPr>
  </w:style>
  <w:style w:type="paragraph" w:customStyle="1" w:styleId="Point4">
    <w:name w:val="Point 4"/>
    <w:basedOn w:val="Normln"/>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ln"/>
    <w:pPr>
      <w:tabs>
        <w:tab w:val="left" w:pos="850"/>
      </w:tabs>
      <w:ind w:left="1417" w:hanging="1417"/>
    </w:pPr>
  </w:style>
  <w:style w:type="paragraph" w:customStyle="1" w:styleId="PointDouble1">
    <w:name w:val="PointDouble 1"/>
    <w:basedOn w:val="Normln"/>
    <w:pPr>
      <w:tabs>
        <w:tab w:val="left" w:pos="1417"/>
      </w:tabs>
      <w:ind w:left="1984" w:hanging="1134"/>
    </w:pPr>
  </w:style>
  <w:style w:type="paragraph" w:customStyle="1" w:styleId="PointDouble2">
    <w:name w:val="PointDouble 2"/>
    <w:basedOn w:val="Normln"/>
    <w:pPr>
      <w:tabs>
        <w:tab w:val="left" w:pos="1984"/>
      </w:tabs>
      <w:ind w:left="2551" w:hanging="1134"/>
    </w:pPr>
  </w:style>
  <w:style w:type="paragraph" w:customStyle="1" w:styleId="PointDouble3">
    <w:name w:val="PointDouble 3"/>
    <w:basedOn w:val="Normln"/>
    <w:pPr>
      <w:tabs>
        <w:tab w:val="left" w:pos="2551"/>
      </w:tabs>
      <w:ind w:left="3118" w:hanging="1134"/>
    </w:pPr>
  </w:style>
  <w:style w:type="paragraph" w:customStyle="1" w:styleId="PointDouble4">
    <w:name w:val="PointDouble 4"/>
    <w:basedOn w:val="Normln"/>
    <w:pPr>
      <w:tabs>
        <w:tab w:val="left" w:pos="3118"/>
      </w:tabs>
      <w:ind w:left="3685" w:hanging="1134"/>
    </w:pPr>
  </w:style>
  <w:style w:type="paragraph" w:customStyle="1" w:styleId="PointTriple0">
    <w:name w:val="PointTriple 0"/>
    <w:basedOn w:val="Normln"/>
    <w:pPr>
      <w:tabs>
        <w:tab w:val="left" w:pos="850"/>
        <w:tab w:val="left" w:pos="1417"/>
      </w:tabs>
      <w:ind w:left="1984" w:hanging="1984"/>
    </w:pPr>
  </w:style>
  <w:style w:type="paragraph" w:customStyle="1" w:styleId="PointTriple1">
    <w:name w:val="PointTriple 1"/>
    <w:basedOn w:val="Normln"/>
    <w:pPr>
      <w:tabs>
        <w:tab w:val="left" w:pos="1417"/>
        <w:tab w:val="left" w:pos="1984"/>
      </w:tabs>
      <w:ind w:left="2551" w:hanging="1701"/>
    </w:pPr>
  </w:style>
  <w:style w:type="paragraph" w:customStyle="1" w:styleId="PointTriple2">
    <w:name w:val="PointTriple 2"/>
    <w:basedOn w:val="Normln"/>
    <w:pPr>
      <w:tabs>
        <w:tab w:val="left" w:pos="1984"/>
        <w:tab w:val="left" w:pos="2551"/>
      </w:tabs>
      <w:ind w:left="3118" w:hanging="1701"/>
    </w:pPr>
  </w:style>
  <w:style w:type="paragraph" w:customStyle="1" w:styleId="PointTriple3">
    <w:name w:val="PointTriple 3"/>
    <w:basedOn w:val="Normln"/>
    <w:pPr>
      <w:tabs>
        <w:tab w:val="left" w:pos="2551"/>
        <w:tab w:val="left" w:pos="3118"/>
      </w:tabs>
      <w:ind w:left="3685" w:hanging="1701"/>
    </w:pPr>
  </w:style>
  <w:style w:type="paragraph" w:customStyle="1" w:styleId="PointTriple4">
    <w:name w:val="PointTriple 4"/>
    <w:basedOn w:val="Normln"/>
    <w:pPr>
      <w:tabs>
        <w:tab w:val="left" w:pos="3118"/>
        <w:tab w:val="left" w:pos="3685"/>
      </w:tabs>
      <w:ind w:left="4252" w:hanging="1701"/>
    </w:pPr>
  </w:style>
  <w:style w:type="paragraph" w:customStyle="1" w:styleId="NumPar1">
    <w:name w:val="NumPar 1"/>
    <w:basedOn w:val="Normln"/>
    <w:next w:val="Text1"/>
    <w:pPr>
      <w:numPr>
        <w:numId w:val="16"/>
      </w:numPr>
    </w:pPr>
  </w:style>
  <w:style w:type="paragraph" w:customStyle="1" w:styleId="NumPar2">
    <w:name w:val="NumPar 2"/>
    <w:basedOn w:val="Normln"/>
    <w:next w:val="Text1"/>
    <w:pPr>
      <w:numPr>
        <w:ilvl w:val="1"/>
        <w:numId w:val="16"/>
      </w:numPr>
    </w:pPr>
  </w:style>
  <w:style w:type="paragraph" w:customStyle="1" w:styleId="NumPar3">
    <w:name w:val="NumPar 3"/>
    <w:basedOn w:val="Normln"/>
    <w:next w:val="Text1"/>
    <w:pPr>
      <w:numPr>
        <w:ilvl w:val="2"/>
        <w:numId w:val="16"/>
      </w:numPr>
    </w:pPr>
  </w:style>
  <w:style w:type="paragraph" w:customStyle="1" w:styleId="NumPar4">
    <w:name w:val="NumPar 4"/>
    <w:basedOn w:val="Normln"/>
    <w:next w:val="Text1"/>
    <w:pPr>
      <w:numPr>
        <w:ilvl w:val="3"/>
        <w:numId w:val="16"/>
      </w:numPr>
    </w:pPr>
  </w:style>
  <w:style w:type="paragraph" w:customStyle="1" w:styleId="ManualNumPar1">
    <w:name w:val="Manual NumPar 1"/>
    <w:basedOn w:val="Normln"/>
    <w:next w:val="Text1"/>
    <w:pPr>
      <w:ind w:left="850" w:hanging="850"/>
    </w:pPr>
  </w:style>
  <w:style w:type="paragraph" w:customStyle="1" w:styleId="ManualNumPar2">
    <w:name w:val="Manual NumPar 2"/>
    <w:basedOn w:val="Normln"/>
    <w:next w:val="Text1"/>
    <w:pPr>
      <w:ind w:left="850" w:hanging="850"/>
    </w:pPr>
  </w:style>
  <w:style w:type="paragraph" w:customStyle="1" w:styleId="ManualNumPar3">
    <w:name w:val="Manual NumPar 3"/>
    <w:basedOn w:val="Normln"/>
    <w:next w:val="Text1"/>
    <w:pPr>
      <w:ind w:left="850" w:hanging="850"/>
    </w:pPr>
  </w:style>
  <w:style w:type="paragraph" w:customStyle="1" w:styleId="ManualNumPar4">
    <w:name w:val="Manual NumPar 4"/>
    <w:basedOn w:val="Normln"/>
    <w:next w:val="Text1"/>
    <w:pPr>
      <w:ind w:left="850" w:hanging="850"/>
    </w:pPr>
  </w:style>
  <w:style w:type="paragraph" w:customStyle="1" w:styleId="QuotedNumPar">
    <w:name w:val="Quoted NumPar"/>
    <w:basedOn w:val="Normln"/>
    <w:pPr>
      <w:ind w:left="1417" w:hanging="567"/>
    </w:pPr>
  </w:style>
  <w:style w:type="paragraph" w:customStyle="1" w:styleId="ManualHeading1">
    <w:name w:val="Manual Heading 1"/>
    <w:basedOn w:val="Normln"/>
    <w:next w:val="Text1"/>
    <w:pPr>
      <w:keepNext/>
      <w:tabs>
        <w:tab w:val="left" w:pos="850"/>
      </w:tabs>
      <w:spacing w:before="360"/>
      <w:ind w:left="850" w:hanging="850"/>
      <w:outlineLvl w:val="0"/>
    </w:pPr>
    <w:rPr>
      <w:b/>
      <w:smallCaps/>
    </w:rPr>
  </w:style>
  <w:style w:type="paragraph" w:customStyle="1" w:styleId="ManualHeading2">
    <w:name w:val="Manual Heading 2"/>
    <w:basedOn w:val="Normln"/>
    <w:next w:val="Text1"/>
    <w:pPr>
      <w:keepNext/>
      <w:tabs>
        <w:tab w:val="left" w:pos="850"/>
      </w:tabs>
      <w:ind w:left="850" w:hanging="850"/>
      <w:outlineLvl w:val="1"/>
    </w:pPr>
    <w:rPr>
      <w:b/>
    </w:rPr>
  </w:style>
  <w:style w:type="paragraph" w:customStyle="1" w:styleId="ManualHeading3">
    <w:name w:val="Manual Heading 3"/>
    <w:basedOn w:val="Normln"/>
    <w:next w:val="Text1"/>
    <w:pPr>
      <w:keepNext/>
      <w:tabs>
        <w:tab w:val="left" w:pos="850"/>
      </w:tabs>
      <w:ind w:left="850" w:hanging="850"/>
      <w:outlineLvl w:val="2"/>
    </w:pPr>
    <w:rPr>
      <w:i/>
    </w:rPr>
  </w:style>
  <w:style w:type="paragraph" w:customStyle="1" w:styleId="ManualHeading4">
    <w:name w:val="Manual Heading 4"/>
    <w:basedOn w:val="Normln"/>
    <w:next w:val="Text1"/>
    <w:pPr>
      <w:keepNext/>
      <w:tabs>
        <w:tab w:val="left" w:pos="850"/>
      </w:tabs>
      <w:ind w:left="850" w:hanging="850"/>
      <w:outlineLvl w:val="3"/>
    </w:pPr>
  </w:style>
  <w:style w:type="paragraph" w:customStyle="1" w:styleId="ChapterTitle">
    <w:name w:val="ChapterTitle"/>
    <w:basedOn w:val="Normln"/>
    <w:next w:val="Normln"/>
    <w:pPr>
      <w:keepNext/>
      <w:spacing w:after="360"/>
      <w:jc w:val="center"/>
    </w:pPr>
    <w:rPr>
      <w:b/>
      <w:sz w:val="32"/>
    </w:rPr>
  </w:style>
  <w:style w:type="paragraph" w:customStyle="1" w:styleId="PartTitle">
    <w:name w:val="PartTitle"/>
    <w:basedOn w:val="Normln"/>
    <w:next w:val="ChapterTitle"/>
    <w:pPr>
      <w:keepNext/>
      <w:pageBreakBefore/>
      <w:spacing w:after="360"/>
      <w:jc w:val="center"/>
    </w:pPr>
    <w:rPr>
      <w:b/>
      <w:sz w:val="36"/>
    </w:rPr>
  </w:style>
  <w:style w:type="paragraph" w:customStyle="1" w:styleId="SectionTitle">
    <w:name w:val="SectionTitle"/>
    <w:basedOn w:val="Normln"/>
    <w:next w:val="Nadpis1"/>
    <w:pPr>
      <w:keepNext/>
      <w:spacing w:after="360"/>
      <w:jc w:val="center"/>
    </w:pPr>
    <w:rPr>
      <w:b/>
      <w:smallCaps/>
      <w:sz w:val="28"/>
    </w:rPr>
  </w:style>
  <w:style w:type="paragraph" w:customStyle="1" w:styleId="TableTitle">
    <w:name w:val="Table Title"/>
    <w:basedOn w:val="Normln"/>
    <w:next w:val="Normln"/>
    <w:pPr>
      <w:jc w:val="center"/>
    </w:pPr>
    <w:rPr>
      <w:b/>
    </w:rPr>
  </w:style>
  <w:style w:type="character" w:customStyle="1" w:styleId="Marker">
    <w:name w:val="Marker"/>
    <w:basedOn w:val="Standardnpsmoodstavce"/>
    <w:rPr>
      <w:color w:val="0000FF"/>
      <w:shd w:val="clear" w:color="auto" w:fill="auto"/>
    </w:rPr>
  </w:style>
  <w:style w:type="character" w:customStyle="1" w:styleId="Marker1">
    <w:name w:val="Marker1"/>
    <w:basedOn w:val="Standardnpsmoodstavce"/>
    <w:rPr>
      <w:color w:val="008000"/>
      <w:shd w:val="clear" w:color="auto" w:fill="auto"/>
    </w:rPr>
  </w:style>
  <w:style w:type="character" w:customStyle="1" w:styleId="Marker2">
    <w:name w:val="Marker2"/>
    <w:basedOn w:val="Standardnpsmoodstavce"/>
    <w:rPr>
      <w:color w:val="FF0000"/>
      <w:shd w:val="clear" w:color="auto" w:fill="auto"/>
    </w:rPr>
  </w:style>
  <w:style w:type="paragraph" w:customStyle="1" w:styleId="Point0number">
    <w:name w:val="Point 0 (number)"/>
    <w:basedOn w:val="Normln"/>
    <w:pPr>
      <w:numPr>
        <w:numId w:val="18"/>
      </w:numPr>
    </w:pPr>
  </w:style>
  <w:style w:type="paragraph" w:customStyle="1" w:styleId="Point1number">
    <w:name w:val="Point 1 (number)"/>
    <w:basedOn w:val="Normln"/>
    <w:pPr>
      <w:numPr>
        <w:ilvl w:val="2"/>
        <w:numId w:val="18"/>
      </w:numPr>
    </w:pPr>
  </w:style>
  <w:style w:type="paragraph" w:customStyle="1" w:styleId="Point2number">
    <w:name w:val="Point 2 (number)"/>
    <w:basedOn w:val="Normln"/>
    <w:pPr>
      <w:numPr>
        <w:ilvl w:val="4"/>
        <w:numId w:val="18"/>
      </w:numPr>
    </w:pPr>
  </w:style>
  <w:style w:type="paragraph" w:customStyle="1" w:styleId="Point3number">
    <w:name w:val="Point 3 (number)"/>
    <w:basedOn w:val="Normln"/>
    <w:pPr>
      <w:numPr>
        <w:ilvl w:val="6"/>
        <w:numId w:val="18"/>
      </w:numPr>
    </w:pPr>
  </w:style>
  <w:style w:type="paragraph" w:customStyle="1" w:styleId="Point0letter">
    <w:name w:val="Point 0 (letter)"/>
    <w:basedOn w:val="Normln"/>
    <w:pPr>
      <w:numPr>
        <w:ilvl w:val="1"/>
        <w:numId w:val="18"/>
      </w:numPr>
    </w:pPr>
  </w:style>
  <w:style w:type="paragraph" w:customStyle="1" w:styleId="Point1letter">
    <w:name w:val="Point 1 (letter)"/>
    <w:basedOn w:val="Normln"/>
    <w:pPr>
      <w:numPr>
        <w:ilvl w:val="3"/>
        <w:numId w:val="18"/>
      </w:numPr>
    </w:pPr>
  </w:style>
  <w:style w:type="paragraph" w:customStyle="1" w:styleId="Point2letter">
    <w:name w:val="Point 2 (letter)"/>
    <w:basedOn w:val="Normln"/>
    <w:pPr>
      <w:numPr>
        <w:ilvl w:val="5"/>
        <w:numId w:val="18"/>
      </w:numPr>
    </w:pPr>
  </w:style>
  <w:style w:type="paragraph" w:customStyle="1" w:styleId="Point3letter">
    <w:name w:val="Point 3 (letter)"/>
    <w:basedOn w:val="Normln"/>
    <w:pPr>
      <w:numPr>
        <w:ilvl w:val="7"/>
        <w:numId w:val="18"/>
      </w:numPr>
    </w:pPr>
  </w:style>
  <w:style w:type="paragraph" w:customStyle="1" w:styleId="Point4letter">
    <w:name w:val="Point 4 (letter)"/>
    <w:basedOn w:val="Normln"/>
    <w:pPr>
      <w:numPr>
        <w:ilvl w:val="8"/>
        <w:numId w:val="18"/>
      </w:numPr>
    </w:pPr>
  </w:style>
  <w:style w:type="paragraph" w:customStyle="1" w:styleId="Bullet0">
    <w:name w:val="Bullet 0"/>
    <w:basedOn w:val="Normln"/>
    <w:pPr>
      <w:numPr>
        <w:numId w:val="19"/>
      </w:numPr>
    </w:pPr>
  </w:style>
  <w:style w:type="paragraph" w:customStyle="1" w:styleId="Bullet1">
    <w:name w:val="Bullet 1"/>
    <w:basedOn w:val="Normln"/>
    <w:pPr>
      <w:numPr>
        <w:numId w:val="20"/>
      </w:numPr>
    </w:pPr>
  </w:style>
  <w:style w:type="paragraph" w:customStyle="1" w:styleId="Bullet2">
    <w:name w:val="Bullet 2"/>
    <w:basedOn w:val="Normln"/>
    <w:pPr>
      <w:numPr>
        <w:numId w:val="21"/>
      </w:numPr>
    </w:pPr>
  </w:style>
  <w:style w:type="paragraph" w:customStyle="1" w:styleId="Bullet3">
    <w:name w:val="Bullet 3"/>
    <w:basedOn w:val="Normln"/>
    <w:pPr>
      <w:numPr>
        <w:numId w:val="22"/>
      </w:numPr>
    </w:pPr>
  </w:style>
  <w:style w:type="paragraph" w:customStyle="1" w:styleId="Bullet4">
    <w:name w:val="Bullet 4"/>
    <w:basedOn w:val="Normln"/>
    <w:pPr>
      <w:numPr>
        <w:numId w:val="23"/>
      </w:numPr>
    </w:pPr>
  </w:style>
  <w:style w:type="paragraph" w:customStyle="1" w:styleId="Annexetitreexpos">
    <w:name w:val="Annexe titre (exposé)"/>
    <w:basedOn w:val="Normln"/>
    <w:next w:val="Normln"/>
    <w:pPr>
      <w:jc w:val="center"/>
    </w:pPr>
    <w:rPr>
      <w:b/>
      <w:u w:val="single"/>
    </w:rPr>
  </w:style>
  <w:style w:type="paragraph" w:customStyle="1" w:styleId="Annexetitre">
    <w:name w:val="Annexe titre"/>
    <w:basedOn w:val="Normln"/>
    <w:next w:val="Normln"/>
    <w:pPr>
      <w:jc w:val="center"/>
    </w:pPr>
    <w:rPr>
      <w:b/>
      <w:u w:val="single"/>
    </w:rPr>
  </w:style>
  <w:style w:type="paragraph" w:customStyle="1" w:styleId="Annexetitrefichefinancire">
    <w:name w:val="Annexe titre (fiche financière)"/>
    <w:basedOn w:val="Normln"/>
    <w:next w:val="Normln"/>
    <w:pPr>
      <w:jc w:val="center"/>
    </w:pPr>
    <w:rPr>
      <w:b/>
      <w:u w:val="single"/>
    </w:rPr>
  </w:style>
  <w:style w:type="paragraph" w:customStyle="1" w:styleId="Applicationdirecte">
    <w:name w:val="Application directe"/>
    <w:basedOn w:val="Normln"/>
    <w:next w:val="Fait"/>
    <w:pPr>
      <w:spacing w:before="480"/>
    </w:pPr>
  </w:style>
  <w:style w:type="paragraph" w:customStyle="1" w:styleId="Avertissementtitre">
    <w:name w:val="Avertissement titre"/>
    <w:basedOn w:val="Normln"/>
    <w:next w:val="Normln"/>
    <w:pPr>
      <w:keepNext/>
      <w:spacing w:before="480"/>
    </w:pPr>
    <w:rPr>
      <w:u w:val="single"/>
    </w:rPr>
  </w:style>
  <w:style w:type="paragraph" w:customStyle="1" w:styleId="Confidence">
    <w:name w:val="Confidence"/>
    <w:basedOn w:val="Normln"/>
    <w:next w:val="Normln"/>
    <w:pPr>
      <w:spacing w:before="360"/>
      <w:jc w:val="center"/>
    </w:pPr>
  </w:style>
  <w:style w:type="paragraph" w:customStyle="1" w:styleId="Confidentialit">
    <w:name w:val="Confidentialité"/>
    <w:basedOn w:val="Normln"/>
    <w:next w:val="TypedudocumentPagedecouverture"/>
    <w:pPr>
      <w:spacing w:before="240" w:after="240"/>
      <w:ind w:left="5103"/>
      <w:jc w:val="left"/>
    </w:pPr>
    <w:rPr>
      <w:i/>
      <w:sz w:val="32"/>
    </w:rPr>
  </w:style>
  <w:style w:type="paragraph" w:customStyle="1" w:styleId="Considrant">
    <w:name w:val="Considérant"/>
    <w:basedOn w:val="Normln"/>
    <w:pPr>
      <w:numPr>
        <w:numId w:val="24"/>
      </w:numPr>
    </w:pPr>
  </w:style>
  <w:style w:type="paragraph" w:customStyle="1" w:styleId="Corrigendum">
    <w:name w:val="Corrigendum"/>
    <w:basedOn w:val="Normln"/>
    <w:next w:val="Normln"/>
    <w:pPr>
      <w:spacing w:before="0" w:after="240"/>
      <w:jc w:val="left"/>
    </w:pPr>
  </w:style>
  <w:style w:type="paragraph" w:customStyle="1" w:styleId="Datedadoption">
    <w:name w:val="Date d'adoption"/>
    <w:basedOn w:val="Normln"/>
    <w:next w:val="Titreobjet"/>
    <w:pPr>
      <w:spacing w:before="360" w:after="0"/>
      <w:jc w:val="center"/>
    </w:pPr>
    <w:rPr>
      <w:b/>
    </w:rPr>
  </w:style>
  <w:style w:type="paragraph" w:customStyle="1" w:styleId="Emission">
    <w:name w:val="Emission"/>
    <w:basedOn w:val="Normln"/>
    <w:next w:val="Rfrenceinstitutionnelle"/>
    <w:pPr>
      <w:spacing w:before="0" w:after="0"/>
      <w:ind w:left="5103"/>
      <w:jc w:val="left"/>
    </w:pPr>
  </w:style>
  <w:style w:type="paragraph" w:customStyle="1" w:styleId="Exposdesmotifstitre">
    <w:name w:val="Exposé des motifs titre"/>
    <w:basedOn w:val="Normln"/>
    <w:next w:val="Normln"/>
    <w:pPr>
      <w:jc w:val="center"/>
    </w:pPr>
    <w:rPr>
      <w:b/>
      <w:u w:val="single"/>
    </w:rPr>
  </w:style>
  <w:style w:type="paragraph" w:customStyle="1" w:styleId="Fait">
    <w:name w:val="Fait à"/>
    <w:basedOn w:val="Normln"/>
    <w:next w:val="Institutionquisigne"/>
    <w:pPr>
      <w:keepNext/>
      <w:spacing w:after="0"/>
    </w:pPr>
  </w:style>
  <w:style w:type="paragraph" w:customStyle="1" w:styleId="Formuledadoption">
    <w:name w:val="Formule d'adoption"/>
    <w:basedOn w:val="Normln"/>
    <w:next w:val="Titrearticle"/>
    <w:pPr>
      <w:keepNext/>
    </w:pPr>
  </w:style>
  <w:style w:type="paragraph" w:customStyle="1" w:styleId="Institutionquiagit">
    <w:name w:val="Institution qui agit"/>
    <w:basedOn w:val="Normln"/>
    <w:next w:val="Normln"/>
    <w:pPr>
      <w:keepNext/>
      <w:spacing w:before="600"/>
    </w:pPr>
  </w:style>
  <w:style w:type="paragraph" w:customStyle="1" w:styleId="Institutionquisigne">
    <w:name w:val="Institution qui signe"/>
    <w:basedOn w:val="Normln"/>
    <w:next w:val="Personnequisigne"/>
    <w:pPr>
      <w:keepNext/>
      <w:tabs>
        <w:tab w:val="left" w:pos="4252"/>
      </w:tabs>
      <w:spacing w:before="720" w:after="0"/>
    </w:pPr>
    <w:rPr>
      <w:i/>
    </w:rPr>
  </w:style>
  <w:style w:type="paragraph" w:customStyle="1" w:styleId="Langue">
    <w:name w:val="Langue"/>
    <w:basedOn w:val="Normln"/>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ln"/>
    <w:pPr>
      <w:ind w:left="709" w:hanging="709"/>
    </w:pPr>
  </w:style>
  <w:style w:type="paragraph" w:customStyle="1" w:styleId="Nomdelinstitution">
    <w:name w:val="Nom de l'institution"/>
    <w:basedOn w:val="Normln"/>
    <w:next w:val="Emission"/>
    <w:pPr>
      <w:spacing w:before="0" w:after="0"/>
      <w:jc w:val="left"/>
    </w:pPr>
    <w:rPr>
      <w:rFonts w:ascii="Arial" w:hAnsi="Arial" w:cs="Arial"/>
    </w:rPr>
  </w:style>
  <w:style w:type="paragraph" w:customStyle="1" w:styleId="Personnequisigne">
    <w:name w:val="Personne qui signe"/>
    <w:basedOn w:val="Normln"/>
    <w:next w:val="Institutionquisigne"/>
    <w:pPr>
      <w:tabs>
        <w:tab w:val="left" w:pos="4252"/>
      </w:tabs>
      <w:spacing w:before="0" w:after="0"/>
      <w:jc w:val="left"/>
    </w:pPr>
    <w:rPr>
      <w:i/>
    </w:rPr>
  </w:style>
  <w:style w:type="paragraph" w:customStyle="1" w:styleId="Rfrenceinstitutionnelle">
    <w:name w:val="Référence institutionnelle"/>
    <w:basedOn w:val="Normln"/>
    <w:next w:val="Confidentialit"/>
    <w:pPr>
      <w:spacing w:before="0" w:after="240"/>
      <w:ind w:left="5103"/>
      <w:jc w:val="left"/>
    </w:pPr>
  </w:style>
  <w:style w:type="paragraph" w:customStyle="1" w:styleId="Rfrenceinterinstitutionnelle">
    <w:name w:val="Référence interinstitutionnelle"/>
    <w:basedOn w:val="Normln"/>
    <w:next w:val="Statut"/>
    <w:pPr>
      <w:spacing w:before="0" w:after="0"/>
      <w:ind w:left="5103"/>
      <w:jc w:val="left"/>
    </w:pPr>
  </w:style>
  <w:style w:type="paragraph" w:customStyle="1" w:styleId="Rfrenceinterne">
    <w:name w:val="Référence interne"/>
    <w:basedOn w:val="Normln"/>
    <w:next w:val="Rfrenceinterinstitutionnelle"/>
    <w:pPr>
      <w:spacing w:before="0" w:after="0"/>
      <w:ind w:left="5103"/>
      <w:jc w:val="left"/>
    </w:pPr>
  </w:style>
  <w:style w:type="paragraph" w:customStyle="1" w:styleId="Sous-titreobjet">
    <w:name w:val="Sous-titre objet"/>
    <w:basedOn w:val="Normln"/>
    <w:pPr>
      <w:spacing w:before="0" w:after="0"/>
      <w:jc w:val="center"/>
    </w:pPr>
    <w:rPr>
      <w:b/>
    </w:rPr>
  </w:style>
  <w:style w:type="paragraph" w:customStyle="1" w:styleId="Statut">
    <w:name w:val="Statut"/>
    <w:basedOn w:val="Normln"/>
    <w:next w:val="Typedudocument"/>
    <w:pPr>
      <w:spacing w:before="360" w:after="0"/>
      <w:jc w:val="center"/>
    </w:pPr>
  </w:style>
  <w:style w:type="paragraph" w:customStyle="1" w:styleId="Titrearticle">
    <w:name w:val="Titre article"/>
    <w:basedOn w:val="Normln"/>
    <w:next w:val="Normln"/>
    <w:pPr>
      <w:keepNext/>
      <w:spacing w:before="360"/>
      <w:jc w:val="center"/>
    </w:pPr>
    <w:rPr>
      <w:i/>
    </w:rPr>
  </w:style>
  <w:style w:type="paragraph" w:customStyle="1" w:styleId="Titreobjet">
    <w:name w:val="Titre objet"/>
    <w:basedOn w:val="Normln"/>
    <w:next w:val="Sous-titreobjet"/>
    <w:pPr>
      <w:spacing w:before="360" w:after="360"/>
      <w:jc w:val="center"/>
    </w:pPr>
    <w:rPr>
      <w:b/>
    </w:rPr>
  </w:style>
  <w:style w:type="paragraph" w:customStyle="1" w:styleId="Typedudocument">
    <w:name w:val="Type du document"/>
    <w:basedOn w:val="Normln"/>
    <w:next w:val="Titreobjet"/>
    <w:pPr>
      <w:spacing w:before="360" w:after="0"/>
      <w:jc w:val="center"/>
    </w:pPr>
    <w:rPr>
      <w:b/>
    </w:rPr>
  </w:style>
  <w:style w:type="character" w:customStyle="1" w:styleId="Added">
    <w:name w:val="Added"/>
    <w:basedOn w:val="Standardnpsmoodstavce"/>
    <w:rPr>
      <w:b/>
      <w:u w:val="single"/>
      <w:shd w:val="clear" w:color="auto" w:fill="auto"/>
    </w:rPr>
  </w:style>
  <w:style w:type="character" w:customStyle="1" w:styleId="Deleted">
    <w:name w:val="Deleted"/>
    <w:basedOn w:val="Standardnpsmoodstavce"/>
    <w:rPr>
      <w:strike/>
      <w:dstrike w:val="0"/>
      <w:shd w:val="clear" w:color="auto" w:fill="auto"/>
    </w:rPr>
  </w:style>
  <w:style w:type="paragraph" w:customStyle="1" w:styleId="Address">
    <w:name w:val="Address"/>
    <w:basedOn w:val="Normln"/>
    <w:next w:val="Normln"/>
    <w:pPr>
      <w:keepLines/>
      <w:spacing w:line="360" w:lineRule="auto"/>
      <w:ind w:left="3402"/>
      <w:jc w:val="left"/>
    </w:pPr>
  </w:style>
  <w:style w:type="paragraph" w:customStyle="1" w:styleId="Objetexterne">
    <w:name w:val="Objet externe"/>
    <w:basedOn w:val="Normln"/>
    <w:next w:val="Normln"/>
    <w:rPr>
      <w:i/>
      <w:caps/>
    </w:rPr>
  </w:style>
  <w:style w:type="paragraph" w:customStyle="1" w:styleId="Pagedecouverture">
    <w:name w:val="Page de couverture"/>
    <w:basedOn w:val="Normln"/>
    <w:next w:val="Normln"/>
    <w:pPr>
      <w:spacing w:before="0" w:after="0"/>
    </w:pPr>
  </w:style>
  <w:style w:type="paragraph" w:customStyle="1" w:styleId="Supertitre">
    <w:name w:val="Supertitre"/>
    <w:basedOn w:val="Normln"/>
    <w:next w:val="Normln"/>
    <w:pPr>
      <w:spacing w:before="0" w:after="600"/>
      <w:jc w:val="center"/>
    </w:pPr>
    <w:rPr>
      <w:b/>
    </w:rPr>
  </w:style>
  <w:style w:type="paragraph" w:customStyle="1" w:styleId="Languesfaisantfoi">
    <w:name w:val="Langues faisant foi"/>
    <w:basedOn w:val="Normln"/>
    <w:next w:val="Normln"/>
    <w:pPr>
      <w:spacing w:before="360" w:after="0"/>
      <w:jc w:val="center"/>
    </w:pPr>
  </w:style>
  <w:style w:type="paragraph" w:customStyle="1" w:styleId="Rfrencecroise">
    <w:name w:val="Référence croisée"/>
    <w:basedOn w:val="Normln"/>
    <w:pPr>
      <w:spacing w:before="0" w:after="0"/>
      <w:jc w:val="center"/>
    </w:pPr>
  </w:style>
  <w:style w:type="paragraph" w:customStyle="1" w:styleId="Fichefinanciretitre">
    <w:name w:val="Fiche financière titre"/>
    <w:basedOn w:val="Normln"/>
    <w:next w:val="Normln"/>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ln"/>
    <w:next w:val="Confidentialit"/>
    <w:pPr>
      <w:spacing w:before="0" w:after="240"/>
      <w:ind w:left="5103"/>
      <w:jc w:val="left"/>
    </w:pPr>
  </w:style>
  <w:style w:type="paragraph" w:customStyle="1" w:styleId="IntrtEEE">
    <w:name w:val="Intérêt EEE"/>
    <w:basedOn w:val="Languesfaisantfoi"/>
    <w:next w:val="Normln"/>
    <w:pPr>
      <w:spacing w:after="240"/>
    </w:pPr>
  </w:style>
  <w:style w:type="paragraph" w:customStyle="1" w:styleId="Accompagnant">
    <w:name w:val="Accompagnant"/>
    <w:basedOn w:val="Normln"/>
    <w:next w:val="Typeacteprincipal"/>
    <w:pPr>
      <w:spacing w:before="0" w:after="240"/>
      <w:jc w:val="center"/>
    </w:pPr>
    <w:rPr>
      <w:b/>
      <w:i/>
    </w:rPr>
  </w:style>
  <w:style w:type="paragraph" w:customStyle="1" w:styleId="Typeacteprincipal">
    <w:name w:val="Type acte principal"/>
    <w:basedOn w:val="Normln"/>
    <w:next w:val="Objetacteprincipal"/>
    <w:pPr>
      <w:spacing w:before="0" w:after="240"/>
      <w:jc w:val="center"/>
    </w:pPr>
    <w:rPr>
      <w:b/>
    </w:rPr>
  </w:style>
  <w:style w:type="paragraph" w:customStyle="1" w:styleId="Objetacteprincipal">
    <w:name w:val="Objet acte principal"/>
    <w:basedOn w:val="Normln"/>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ln"/>
    <w:next w:val="Normln"/>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0</TotalTime>
  <Pages>6</Pages>
  <Words>1197</Words>
  <Characters>7069</Characters>
  <Application>Microsoft Office Word</Application>
  <DocSecurity>4</DocSecurity>
  <Lines>58</Lines>
  <Paragraphs>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MZV CR</Company>
  <LinksUpToDate>false</LinksUpToDate>
  <CharactersWithSpaces>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ocst</dc:creator>
  <cp:lastModifiedBy>ocst</cp:lastModifiedBy>
  <cp:revision>2</cp:revision>
  <dcterms:created xsi:type="dcterms:W3CDTF">2016-10-06T13:44:00Z</dcterms:created>
  <dcterms:modified xsi:type="dcterms:W3CDTF">2016-10-06T13:44:00Z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SJ-019</vt:lpwstr>
  </property>
  <property fmtid="{D5CDD505-2E9C-101B-9397-08002B2CF9AE}" pid="10" name="DQCStatus">
    <vt:lpwstr>Yellow (DQC version 03)</vt:lpwstr>
  </property>
</Properties>
</file>