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5F37" w14:textId="77777777" w:rsidR="00DA7E0D" w:rsidRPr="00CE217B" w:rsidRDefault="00DA7E0D" w:rsidP="00DA7E0D">
      <w:pPr>
        <w:rPr>
          <w:b/>
          <w:caps/>
          <w:color w:val="2F5496" w:themeColor="accent1" w:themeShade="BF"/>
          <w:sz w:val="28"/>
        </w:rPr>
      </w:pPr>
      <w:r w:rsidRPr="00CE217B">
        <w:rPr>
          <w:b/>
          <w:caps/>
          <w:color w:val="2F5496" w:themeColor="accent1" w:themeShade="BF"/>
          <w:sz w:val="28"/>
        </w:rPr>
        <w:t>Příloha 8</w:t>
      </w:r>
    </w:p>
    <w:p w14:paraId="46738551" w14:textId="3A5EDF67" w:rsidR="00DA7E0D" w:rsidRDefault="00DA7E0D" w:rsidP="00DA7E0D">
      <w:pPr>
        <w:rPr>
          <w:b/>
          <w:caps/>
          <w:color w:val="2F5496" w:themeColor="accent1" w:themeShade="BF"/>
          <w:sz w:val="28"/>
        </w:rPr>
      </w:pPr>
      <w:bookmarkStart w:id="0" w:name="_Hlk75279554"/>
      <w:r w:rsidRPr="00CE217B">
        <w:rPr>
          <w:b/>
          <w:caps/>
          <w:color w:val="2F5496" w:themeColor="accent1" w:themeShade="BF"/>
          <w:sz w:val="28"/>
        </w:rPr>
        <w:t>Příklady domácí a zahraniční dobré praxe využitelné pro hodnocený program</w:t>
      </w:r>
    </w:p>
    <w:bookmarkEnd w:id="0"/>
    <w:p w14:paraId="64AD413E" w14:textId="3EB73B15" w:rsidR="00310D76" w:rsidRDefault="00310D76" w:rsidP="00DA7E0D">
      <w:pPr>
        <w:rPr>
          <w:b/>
          <w:caps/>
          <w:color w:val="2F5496" w:themeColor="accent1" w:themeShade="BF"/>
          <w:sz w:val="28"/>
        </w:rPr>
      </w:pPr>
    </w:p>
    <w:p w14:paraId="58CE4114" w14:textId="77777777" w:rsidR="00DA7E0D" w:rsidRDefault="00DA7E0D" w:rsidP="00DA7E0D"/>
    <w:sdt>
      <w:sdtPr>
        <w:rPr>
          <w:color w:val="auto"/>
          <w:sz w:val="22"/>
          <w:szCs w:val="24"/>
        </w:rPr>
        <w:id w:val="2046103139"/>
        <w:docPartObj>
          <w:docPartGallery w:val="Table of Contents"/>
          <w:docPartUnique/>
        </w:docPartObj>
      </w:sdtPr>
      <w:sdtEndPr>
        <w:rPr>
          <w:b/>
          <w:bCs/>
        </w:rPr>
      </w:sdtEndPr>
      <w:sdtContent>
        <w:p w14:paraId="5BDEAAC1" w14:textId="5814C3FC" w:rsidR="00310D76" w:rsidRPr="00310D76" w:rsidRDefault="00310D76">
          <w:pPr>
            <w:pStyle w:val="Nadpisobsahu"/>
            <w:rPr>
              <w:b/>
              <w:bCs/>
              <w:sz w:val="28"/>
              <w:szCs w:val="28"/>
            </w:rPr>
          </w:pPr>
          <w:r w:rsidRPr="00310D76">
            <w:rPr>
              <w:b/>
              <w:bCs/>
              <w:sz w:val="28"/>
              <w:szCs w:val="28"/>
            </w:rPr>
            <w:t>OBSAH</w:t>
          </w:r>
        </w:p>
        <w:p w14:paraId="729AE876" w14:textId="6671B2CD" w:rsidR="007161F3" w:rsidRDefault="00310D76">
          <w:pPr>
            <w:pStyle w:val="Obsa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75263409" w:history="1">
            <w:r w:rsidR="007161F3" w:rsidRPr="00106646">
              <w:rPr>
                <w:rStyle w:val="Hypertextovodkaz"/>
                <w:noProof/>
              </w:rPr>
              <w:t>1.</w:t>
            </w:r>
            <w:r w:rsidR="007161F3">
              <w:rPr>
                <w:rFonts w:asciiTheme="minorHAnsi" w:eastAsiaTheme="minorEastAsia" w:hAnsiTheme="minorHAnsi" w:cstheme="minorBidi"/>
                <w:b w:val="0"/>
                <w:bCs w:val="0"/>
                <w:caps w:val="0"/>
                <w:noProof/>
                <w:sz w:val="22"/>
                <w:szCs w:val="22"/>
              </w:rPr>
              <w:tab/>
            </w:r>
            <w:r w:rsidR="007161F3" w:rsidRPr="00106646">
              <w:rPr>
                <w:rStyle w:val="Hypertextovodkaz"/>
                <w:noProof/>
              </w:rPr>
              <w:t>Úvod</w:t>
            </w:r>
            <w:r w:rsidR="007161F3">
              <w:rPr>
                <w:noProof/>
                <w:webHidden/>
              </w:rPr>
              <w:tab/>
            </w:r>
            <w:r w:rsidR="007161F3">
              <w:rPr>
                <w:noProof/>
                <w:webHidden/>
              </w:rPr>
              <w:fldChar w:fldCharType="begin"/>
            </w:r>
            <w:r w:rsidR="007161F3">
              <w:rPr>
                <w:noProof/>
                <w:webHidden/>
              </w:rPr>
              <w:instrText xml:space="preserve"> PAGEREF _Toc75263409 \h </w:instrText>
            </w:r>
            <w:r w:rsidR="007161F3">
              <w:rPr>
                <w:noProof/>
                <w:webHidden/>
              </w:rPr>
            </w:r>
            <w:r w:rsidR="007161F3">
              <w:rPr>
                <w:noProof/>
                <w:webHidden/>
              </w:rPr>
              <w:fldChar w:fldCharType="separate"/>
            </w:r>
            <w:r w:rsidR="00CA789D">
              <w:rPr>
                <w:noProof/>
                <w:webHidden/>
              </w:rPr>
              <w:t>2</w:t>
            </w:r>
            <w:r w:rsidR="007161F3">
              <w:rPr>
                <w:noProof/>
                <w:webHidden/>
              </w:rPr>
              <w:fldChar w:fldCharType="end"/>
            </w:r>
          </w:hyperlink>
        </w:p>
        <w:p w14:paraId="3BD4E2EA" w14:textId="518442A3" w:rsidR="007161F3" w:rsidRDefault="00446D4D">
          <w:pPr>
            <w:pStyle w:val="Obsah1"/>
            <w:rPr>
              <w:rFonts w:asciiTheme="minorHAnsi" w:eastAsiaTheme="minorEastAsia" w:hAnsiTheme="minorHAnsi" w:cstheme="minorBidi"/>
              <w:b w:val="0"/>
              <w:bCs w:val="0"/>
              <w:caps w:val="0"/>
              <w:noProof/>
              <w:sz w:val="22"/>
              <w:szCs w:val="22"/>
            </w:rPr>
          </w:pPr>
          <w:hyperlink w:anchor="_Toc75263410" w:history="1">
            <w:r w:rsidR="007161F3" w:rsidRPr="00106646">
              <w:rPr>
                <w:rStyle w:val="Hypertextovodkaz"/>
                <w:noProof/>
              </w:rPr>
              <w:t>2.</w:t>
            </w:r>
            <w:r w:rsidR="007161F3">
              <w:rPr>
                <w:rFonts w:asciiTheme="minorHAnsi" w:eastAsiaTheme="minorEastAsia" w:hAnsiTheme="minorHAnsi" w:cstheme="minorBidi"/>
                <w:b w:val="0"/>
                <w:bCs w:val="0"/>
                <w:caps w:val="0"/>
                <w:noProof/>
                <w:sz w:val="22"/>
                <w:szCs w:val="22"/>
              </w:rPr>
              <w:tab/>
            </w:r>
            <w:r w:rsidR="007161F3" w:rsidRPr="00106646">
              <w:rPr>
                <w:rStyle w:val="Hypertextovodkaz"/>
                <w:noProof/>
              </w:rPr>
              <w:t>Dobrá praxe domácích sektorově orientovaných kapacitních nástrojů</w:t>
            </w:r>
            <w:r w:rsidR="007161F3">
              <w:rPr>
                <w:noProof/>
                <w:webHidden/>
              </w:rPr>
              <w:tab/>
            </w:r>
            <w:r w:rsidR="007161F3">
              <w:rPr>
                <w:noProof/>
                <w:webHidden/>
              </w:rPr>
              <w:fldChar w:fldCharType="begin"/>
            </w:r>
            <w:r w:rsidR="007161F3">
              <w:rPr>
                <w:noProof/>
                <w:webHidden/>
              </w:rPr>
              <w:instrText xml:space="preserve"> PAGEREF _Toc75263410 \h </w:instrText>
            </w:r>
            <w:r w:rsidR="007161F3">
              <w:rPr>
                <w:noProof/>
                <w:webHidden/>
              </w:rPr>
            </w:r>
            <w:r w:rsidR="007161F3">
              <w:rPr>
                <w:noProof/>
                <w:webHidden/>
              </w:rPr>
              <w:fldChar w:fldCharType="separate"/>
            </w:r>
            <w:r w:rsidR="00CA789D">
              <w:rPr>
                <w:noProof/>
                <w:webHidden/>
              </w:rPr>
              <w:t>3</w:t>
            </w:r>
            <w:r w:rsidR="007161F3">
              <w:rPr>
                <w:noProof/>
                <w:webHidden/>
              </w:rPr>
              <w:fldChar w:fldCharType="end"/>
            </w:r>
          </w:hyperlink>
        </w:p>
        <w:p w14:paraId="71120226" w14:textId="59FD5668" w:rsidR="007161F3" w:rsidRDefault="00446D4D">
          <w:pPr>
            <w:pStyle w:val="Obsah1"/>
            <w:rPr>
              <w:rFonts w:asciiTheme="minorHAnsi" w:eastAsiaTheme="minorEastAsia" w:hAnsiTheme="minorHAnsi" w:cstheme="minorBidi"/>
              <w:b w:val="0"/>
              <w:bCs w:val="0"/>
              <w:caps w:val="0"/>
              <w:noProof/>
              <w:sz w:val="22"/>
              <w:szCs w:val="22"/>
            </w:rPr>
          </w:pPr>
          <w:hyperlink w:anchor="_Toc75263411" w:history="1">
            <w:r w:rsidR="007161F3" w:rsidRPr="00106646">
              <w:rPr>
                <w:rStyle w:val="Hypertextovodkaz"/>
                <w:noProof/>
              </w:rPr>
              <w:t>3.</w:t>
            </w:r>
            <w:r w:rsidR="007161F3">
              <w:rPr>
                <w:rFonts w:asciiTheme="minorHAnsi" w:eastAsiaTheme="minorEastAsia" w:hAnsiTheme="minorHAnsi" w:cstheme="minorBidi"/>
                <w:b w:val="0"/>
                <w:bCs w:val="0"/>
                <w:caps w:val="0"/>
                <w:noProof/>
                <w:sz w:val="22"/>
                <w:szCs w:val="22"/>
              </w:rPr>
              <w:tab/>
            </w:r>
            <w:r w:rsidR="007161F3" w:rsidRPr="00240FF6">
              <w:rPr>
                <w:noProof/>
              </w:rPr>
              <w:t>Zahraniční</w:t>
            </w:r>
            <w:r w:rsidR="007161F3" w:rsidRPr="00106646">
              <w:rPr>
                <w:rStyle w:val="Hypertextovodkaz"/>
                <w:noProof/>
              </w:rPr>
              <w:t xml:space="preserve"> dobré praxe účelné podpory spolupráce soukromého a neziskového sektoru v rámci ZRS</w:t>
            </w:r>
            <w:r w:rsidR="007161F3">
              <w:rPr>
                <w:noProof/>
                <w:webHidden/>
              </w:rPr>
              <w:tab/>
            </w:r>
            <w:r w:rsidR="00240FF6" w:rsidRPr="00240FF6">
              <w:rPr>
                <w:noProof/>
                <w:webHidden/>
              </w:rPr>
              <w:tab/>
            </w:r>
            <w:r w:rsidR="007161F3">
              <w:rPr>
                <w:noProof/>
                <w:webHidden/>
              </w:rPr>
              <w:fldChar w:fldCharType="begin"/>
            </w:r>
            <w:r w:rsidR="007161F3">
              <w:rPr>
                <w:noProof/>
                <w:webHidden/>
              </w:rPr>
              <w:instrText xml:space="preserve"> PAGEREF _Toc75263411 \h </w:instrText>
            </w:r>
            <w:r w:rsidR="007161F3">
              <w:rPr>
                <w:noProof/>
                <w:webHidden/>
              </w:rPr>
            </w:r>
            <w:r w:rsidR="007161F3">
              <w:rPr>
                <w:noProof/>
                <w:webHidden/>
              </w:rPr>
              <w:fldChar w:fldCharType="separate"/>
            </w:r>
            <w:r w:rsidR="00CA789D">
              <w:rPr>
                <w:noProof/>
                <w:webHidden/>
              </w:rPr>
              <w:t>7</w:t>
            </w:r>
            <w:r w:rsidR="007161F3">
              <w:rPr>
                <w:noProof/>
                <w:webHidden/>
              </w:rPr>
              <w:fldChar w:fldCharType="end"/>
            </w:r>
          </w:hyperlink>
        </w:p>
        <w:p w14:paraId="5AE94F29" w14:textId="66E8C2E6" w:rsidR="007161F3" w:rsidRDefault="00446D4D">
          <w:pPr>
            <w:pStyle w:val="Obsah1"/>
            <w:rPr>
              <w:rFonts w:asciiTheme="minorHAnsi" w:eastAsiaTheme="minorEastAsia" w:hAnsiTheme="minorHAnsi" w:cstheme="minorBidi"/>
              <w:b w:val="0"/>
              <w:bCs w:val="0"/>
              <w:caps w:val="0"/>
              <w:noProof/>
              <w:sz w:val="22"/>
              <w:szCs w:val="22"/>
            </w:rPr>
          </w:pPr>
          <w:hyperlink w:anchor="_Toc75263412" w:history="1">
            <w:r w:rsidR="007161F3" w:rsidRPr="00106646">
              <w:rPr>
                <w:rStyle w:val="Hypertextovodkaz"/>
                <w:noProof/>
              </w:rPr>
              <w:t>4.</w:t>
            </w:r>
            <w:r w:rsidR="007161F3">
              <w:rPr>
                <w:rFonts w:asciiTheme="minorHAnsi" w:eastAsiaTheme="minorEastAsia" w:hAnsiTheme="minorHAnsi" w:cstheme="minorBidi"/>
                <w:b w:val="0"/>
                <w:bCs w:val="0"/>
                <w:caps w:val="0"/>
                <w:noProof/>
                <w:sz w:val="22"/>
                <w:szCs w:val="22"/>
              </w:rPr>
              <w:tab/>
            </w:r>
            <w:r w:rsidR="007161F3" w:rsidRPr="00106646">
              <w:rPr>
                <w:rStyle w:val="Hypertextovodkaz"/>
                <w:noProof/>
              </w:rPr>
              <w:t>Přístupy donorů z vyspělých zemí k podpoře kapacit realizátorů rozvojové spolupráce a core fundingu</w:t>
            </w:r>
            <w:r w:rsidR="007161F3">
              <w:rPr>
                <w:noProof/>
                <w:webHidden/>
              </w:rPr>
              <w:tab/>
            </w:r>
            <w:r w:rsidR="007161F3">
              <w:rPr>
                <w:noProof/>
                <w:webHidden/>
              </w:rPr>
              <w:fldChar w:fldCharType="begin"/>
            </w:r>
            <w:r w:rsidR="007161F3">
              <w:rPr>
                <w:noProof/>
                <w:webHidden/>
              </w:rPr>
              <w:instrText xml:space="preserve"> PAGEREF _Toc75263412 \h </w:instrText>
            </w:r>
            <w:r w:rsidR="007161F3">
              <w:rPr>
                <w:noProof/>
                <w:webHidden/>
              </w:rPr>
            </w:r>
            <w:r w:rsidR="007161F3">
              <w:rPr>
                <w:noProof/>
                <w:webHidden/>
              </w:rPr>
              <w:fldChar w:fldCharType="separate"/>
            </w:r>
            <w:r w:rsidR="00CA789D">
              <w:rPr>
                <w:noProof/>
                <w:webHidden/>
              </w:rPr>
              <w:t>10</w:t>
            </w:r>
            <w:r w:rsidR="007161F3">
              <w:rPr>
                <w:noProof/>
                <w:webHidden/>
              </w:rPr>
              <w:fldChar w:fldCharType="end"/>
            </w:r>
          </w:hyperlink>
        </w:p>
        <w:p w14:paraId="438EAC57" w14:textId="0A89D9B5" w:rsidR="007161F3" w:rsidRDefault="00446D4D">
          <w:pPr>
            <w:pStyle w:val="Obsah2"/>
            <w:tabs>
              <w:tab w:val="left" w:pos="880"/>
              <w:tab w:val="right" w:leader="dot" w:pos="9592"/>
            </w:tabs>
            <w:rPr>
              <w:rFonts w:asciiTheme="minorHAnsi" w:eastAsiaTheme="minorEastAsia" w:hAnsiTheme="minorHAnsi" w:cstheme="minorBidi"/>
              <w:smallCaps w:val="0"/>
              <w:noProof/>
              <w:sz w:val="22"/>
              <w:szCs w:val="22"/>
            </w:rPr>
          </w:pPr>
          <w:hyperlink w:anchor="_Toc75263413" w:history="1">
            <w:r w:rsidR="007161F3" w:rsidRPr="00106646">
              <w:rPr>
                <w:rStyle w:val="Hypertextovodkaz"/>
                <w:noProof/>
              </w:rPr>
              <w:t>4.1</w:t>
            </w:r>
            <w:r w:rsidR="007161F3">
              <w:rPr>
                <w:rFonts w:asciiTheme="minorHAnsi" w:eastAsiaTheme="minorEastAsia" w:hAnsiTheme="minorHAnsi" w:cstheme="minorBidi"/>
                <w:smallCaps w:val="0"/>
                <w:noProof/>
                <w:sz w:val="22"/>
                <w:szCs w:val="22"/>
              </w:rPr>
              <w:tab/>
            </w:r>
            <w:r w:rsidR="007161F3" w:rsidRPr="00106646">
              <w:rPr>
                <w:rStyle w:val="Hypertextovodkaz"/>
                <w:noProof/>
              </w:rPr>
              <w:t>Úvod</w:t>
            </w:r>
            <w:r w:rsidR="007161F3">
              <w:rPr>
                <w:noProof/>
                <w:webHidden/>
              </w:rPr>
              <w:tab/>
            </w:r>
            <w:r w:rsidR="007161F3">
              <w:rPr>
                <w:noProof/>
                <w:webHidden/>
              </w:rPr>
              <w:fldChar w:fldCharType="begin"/>
            </w:r>
            <w:r w:rsidR="007161F3">
              <w:rPr>
                <w:noProof/>
                <w:webHidden/>
              </w:rPr>
              <w:instrText xml:space="preserve"> PAGEREF _Toc75263413 \h </w:instrText>
            </w:r>
            <w:r w:rsidR="007161F3">
              <w:rPr>
                <w:noProof/>
                <w:webHidden/>
              </w:rPr>
            </w:r>
            <w:r w:rsidR="007161F3">
              <w:rPr>
                <w:noProof/>
                <w:webHidden/>
              </w:rPr>
              <w:fldChar w:fldCharType="separate"/>
            </w:r>
            <w:r w:rsidR="00CA789D">
              <w:rPr>
                <w:noProof/>
                <w:webHidden/>
              </w:rPr>
              <w:t>10</w:t>
            </w:r>
            <w:r w:rsidR="007161F3">
              <w:rPr>
                <w:noProof/>
                <w:webHidden/>
              </w:rPr>
              <w:fldChar w:fldCharType="end"/>
            </w:r>
          </w:hyperlink>
        </w:p>
        <w:p w14:paraId="53765448" w14:textId="6571BAA9" w:rsidR="007161F3" w:rsidRDefault="00446D4D">
          <w:pPr>
            <w:pStyle w:val="Obsah2"/>
            <w:tabs>
              <w:tab w:val="left" w:pos="880"/>
              <w:tab w:val="right" w:leader="dot" w:pos="9592"/>
            </w:tabs>
            <w:rPr>
              <w:rFonts w:asciiTheme="minorHAnsi" w:eastAsiaTheme="minorEastAsia" w:hAnsiTheme="minorHAnsi" w:cstheme="minorBidi"/>
              <w:smallCaps w:val="0"/>
              <w:noProof/>
              <w:sz w:val="22"/>
              <w:szCs w:val="22"/>
            </w:rPr>
          </w:pPr>
          <w:hyperlink w:anchor="_Toc75263414" w:history="1">
            <w:r w:rsidR="007161F3" w:rsidRPr="00106646">
              <w:rPr>
                <w:rStyle w:val="Hypertextovodkaz"/>
                <w:noProof/>
              </w:rPr>
              <w:t>4.2</w:t>
            </w:r>
            <w:r w:rsidR="007161F3">
              <w:rPr>
                <w:rFonts w:asciiTheme="minorHAnsi" w:eastAsiaTheme="minorEastAsia" w:hAnsiTheme="minorHAnsi" w:cstheme="minorBidi"/>
                <w:smallCaps w:val="0"/>
                <w:noProof/>
                <w:sz w:val="22"/>
                <w:szCs w:val="22"/>
              </w:rPr>
              <w:tab/>
            </w:r>
            <w:r w:rsidR="007161F3" w:rsidRPr="00106646">
              <w:rPr>
                <w:rStyle w:val="Hypertextovodkaz"/>
                <w:noProof/>
              </w:rPr>
              <w:t>Dobré praxe přes pohled na vybrané země</w:t>
            </w:r>
            <w:r w:rsidR="007161F3">
              <w:rPr>
                <w:noProof/>
                <w:webHidden/>
              </w:rPr>
              <w:tab/>
            </w:r>
            <w:r w:rsidR="007161F3">
              <w:rPr>
                <w:noProof/>
                <w:webHidden/>
              </w:rPr>
              <w:fldChar w:fldCharType="begin"/>
            </w:r>
            <w:r w:rsidR="007161F3">
              <w:rPr>
                <w:noProof/>
                <w:webHidden/>
              </w:rPr>
              <w:instrText xml:space="preserve"> PAGEREF _Toc75263414 \h </w:instrText>
            </w:r>
            <w:r w:rsidR="007161F3">
              <w:rPr>
                <w:noProof/>
                <w:webHidden/>
              </w:rPr>
            </w:r>
            <w:r w:rsidR="007161F3">
              <w:rPr>
                <w:noProof/>
                <w:webHidden/>
              </w:rPr>
              <w:fldChar w:fldCharType="separate"/>
            </w:r>
            <w:r w:rsidR="00CA789D">
              <w:rPr>
                <w:noProof/>
                <w:webHidden/>
              </w:rPr>
              <w:t>11</w:t>
            </w:r>
            <w:r w:rsidR="007161F3">
              <w:rPr>
                <w:noProof/>
                <w:webHidden/>
              </w:rPr>
              <w:fldChar w:fldCharType="end"/>
            </w:r>
          </w:hyperlink>
        </w:p>
        <w:p w14:paraId="7D8C1D5A" w14:textId="5712D14A" w:rsidR="007161F3" w:rsidRDefault="00446D4D">
          <w:pPr>
            <w:pStyle w:val="Obsah2"/>
            <w:tabs>
              <w:tab w:val="left" w:pos="880"/>
              <w:tab w:val="right" w:leader="dot" w:pos="9592"/>
            </w:tabs>
            <w:rPr>
              <w:rFonts w:asciiTheme="minorHAnsi" w:eastAsiaTheme="minorEastAsia" w:hAnsiTheme="minorHAnsi" w:cstheme="minorBidi"/>
              <w:smallCaps w:val="0"/>
              <w:noProof/>
              <w:sz w:val="22"/>
              <w:szCs w:val="22"/>
            </w:rPr>
          </w:pPr>
          <w:hyperlink w:anchor="_Toc75263415" w:history="1">
            <w:r w:rsidR="007161F3" w:rsidRPr="00106646">
              <w:rPr>
                <w:rStyle w:val="Hypertextovodkaz"/>
                <w:noProof/>
              </w:rPr>
              <w:t>4.3</w:t>
            </w:r>
            <w:r w:rsidR="007161F3">
              <w:rPr>
                <w:rFonts w:asciiTheme="minorHAnsi" w:eastAsiaTheme="minorEastAsia" w:hAnsiTheme="minorHAnsi" w:cstheme="minorBidi"/>
                <w:smallCaps w:val="0"/>
                <w:noProof/>
                <w:sz w:val="22"/>
                <w:szCs w:val="22"/>
              </w:rPr>
              <w:tab/>
            </w:r>
            <w:r w:rsidR="007161F3" w:rsidRPr="00106646">
              <w:rPr>
                <w:rStyle w:val="Hypertextovodkaz"/>
                <w:noProof/>
              </w:rPr>
              <w:t>Dobré praxe přes vybraná témata dobré praxe</w:t>
            </w:r>
            <w:r w:rsidR="007161F3">
              <w:rPr>
                <w:noProof/>
                <w:webHidden/>
              </w:rPr>
              <w:tab/>
            </w:r>
            <w:r w:rsidR="007161F3">
              <w:rPr>
                <w:noProof/>
                <w:webHidden/>
              </w:rPr>
              <w:fldChar w:fldCharType="begin"/>
            </w:r>
            <w:r w:rsidR="007161F3">
              <w:rPr>
                <w:noProof/>
                <w:webHidden/>
              </w:rPr>
              <w:instrText xml:space="preserve"> PAGEREF _Toc75263415 \h </w:instrText>
            </w:r>
            <w:r w:rsidR="007161F3">
              <w:rPr>
                <w:noProof/>
                <w:webHidden/>
              </w:rPr>
            </w:r>
            <w:r w:rsidR="007161F3">
              <w:rPr>
                <w:noProof/>
                <w:webHidden/>
              </w:rPr>
              <w:fldChar w:fldCharType="separate"/>
            </w:r>
            <w:r w:rsidR="00CA789D">
              <w:rPr>
                <w:noProof/>
                <w:webHidden/>
              </w:rPr>
              <w:t>16</w:t>
            </w:r>
            <w:r w:rsidR="007161F3">
              <w:rPr>
                <w:noProof/>
                <w:webHidden/>
              </w:rPr>
              <w:fldChar w:fldCharType="end"/>
            </w:r>
          </w:hyperlink>
        </w:p>
        <w:p w14:paraId="034F05AD" w14:textId="07F3F34E" w:rsidR="007161F3" w:rsidRDefault="00446D4D">
          <w:pPr>
            <w:pStyle w:val="Obsah2"/>
            <w:tabs>
              <w:tab w:val="left" w:pos="880"/>
              <w:tab w:val="right" w:leader="dot" w:pos="9592"/>
            </w:tabs>
            <w:rPr>
              <w:rFonts w:asciiTheme="minorHAnsi" w:eastAsiaTheme="minorEastAsia" w:hAnsiTheme="minorHAnsi" w:cstheme="minorBidi"/>
              <w:smallCaps w:val="0"/>
              <w:noProof/>
              <w:sz w:val="22"/>
              <w:szCs w:val="22"/>
            </w:rPr>
          </w:pPr>
          <w:hyperlink w:anchor="_Toc75263416" w:history="1">
            <w:r w:rsidR="007161F3" w:rsidRPr="00106646">
              <w:rPr>
                <w:rStyle w:val="Hypertextovodkaz"/>
                <w:noProof/>
              </w:rPr>
              <w:t>4.4</w:t>
            </w:r>
            <w:r w:rsidR="007161F3">
              <w:rPr>
                <w:rFonts w:asciiTheme="minorHAnsi" w:eastAsiaTheme="minorEastAsia" w:hAnsiTheme="minorHAnsi" w:cstheme="minorBidi"/>
                <w:smallCaps w:val="0"/>
                <w:noProof/>
                <w:sz w:val="22"/>
                <w:szCs w:val="22"/>
              </w:rPr>
              <w:tab/>
            </w:r>
            <w:r w:rsidR="007161F3" w:rsidRPr="00106646">
              <w:rPr>
                <w:rStyle w:val="Hypertextovodkaz"/>
                <w:noProof/>
              </w:rPr>
              <w:t>Shrnutí a implikace pro českou ZRS</w:t>
            </w:r>
            <w:r w:rsidR="007161F3">
              <w:rPr>
                <w:noProof/>
                <w:webHidden/>
              </w:rPr>
              <w:tab/>
            </w:r>
            <w:r w:rsidR="007161F3">
              <w:rPr>
                <w:noProof/>
                <w:webHidden/>
              </w:rPr>
              <w:fldChar w:fldCharType="begin"/>
            </w:r>
            <w:r w:rsidR="007161F3">
              <w:rPr>
                <w:noProof/>
                <w:webHidden/>
              </w:rPr>
              <w:instrText xml:space="preserve"> PAGEREF _Toc75263416 \h </w:instrText>
            </w:r>
            <w:r w:rsidR="007161F3">
              <w:rPr>
                <w:noProof/>
                <w:webHidden/>
              </w:rPr>
            </w:r>
            <w:r w:rsidR="007161F3">
              <w:rPr>
                <w:noProof/>
                <w:webHidden/>
              </w:rPr>
              <w:fldChar w:fldCharType="separate"/>
            </w:r>
            <w:r w:rsidR="00CA789D">
              <w:rPr>
                <w:noProof/>
                <w:webHidden/>
              </w:rPr>
              <w:t>20</w:t>
            </w:r>
            <w:r w:rsidR="007161F3">
              <w:rPr>
                <w:noProof/>
                <w:webHidden/>
              </w:rPr>
              <w:fldChar w:fldCharType="end"/>
            </w:r>
          </w:hyperlink>
        </w:p>
        <w:p w14:paraId="09997A9E" w14:textId="34C9AEA2" w:rsidR="007161F3" w:rsidRDefault="00446D4D">
          <w:pPr>
            <w:pStyle w:val="Obsah1"/>
            <w:rPr>
              <w:rFonts w:asciiTheme="minorHAnsi" w:eastAsiaTheme="minorEastAsia" w:hAnsiTheme="minorHAnsi" w:cstheme="minorBidi"/>
              <w:b w:val="0"/>
              <w:bCs w:val="0"/>
              <w:caps w:val="0"/>
              <w:noProof/>
              <w:sz w:val="22"/>
              <w:szCs w:val="22"/>
            </w:rPr>
          </w:pPr>
          <w:hyperlink w:anchor="_Toc75263417" w:history="1">
            <w:r w:rsidR="007161F3" w:rsidRPr="00106646">
              <w:rPr>
                <w:rStyle w:val="Hypertextovodkaz"/>
                <w:noProof/>
              </w:rPr>
              <w:t>SEZNAM A VYSVĚTLENÍ ZKRATEK</w:t>
            </w:r>
            <w:r w:rsidR="007161F3">
              <w:rPr>
                <w:noProof/>
                <w:webHidden/>
              </w:rPr>
              <w:tab/>
            </w:r>
            <w:r w:rsidR="007161F3">
              <w:rPr>
                <w:noProof/>
                <w:webHidden/>
              </w:rPr>
              <w:fldChar w:fldCharType="begin"/>
            </w:r>
            <w:r w:rsidR="007161F3">
              <w:rPr>
                <w:noProof/>
                <w:webHidden/>
              </w:rPr>
              <w:instrText xml:space="preserve"> PAGEREF _Toc75263417 \h </w:instrText>
            </w:r>
            <w:r w:rsidR="007161F3">
              <w:rPr>
                <w:noProof/>
                <w:webHidden/>
              </w:rPr>
            </w:r>
            <w:r w:rsidR="007161F3">
              <w:rPr>
                <w:noProof/>
                <w:webHidden/>
              </w:rPr>
              <w:fldChar w:fldCharType="separate"/>
            </w:r>
            <w:r w:rsidR="00CA789D">
              <w:rPr>
                <w:noProof/>
                <w:webHidden/>
              </w:rPr>
              <w:t>22</w:t>
            </w:r>
            <w:r w:rsidR="007161F3">
              <w:rPr>
                <w:noProof/>
                <w:webHidden/>
              </w:rPr>
              <w:fldChar w:fldCharType="end"/>
            </w:r>
          </w:hyperlink>
        </w:p>
        <w:p w14:paraId="6001BECA" w14:textId="383D58A4" w:rsidR="007161F3" w:rsidRDefault="00446D4D">
          <w:pPr>
            <w:pStyle w:val="Obsah1"/>
            <w:rPr>
              <w:rFonts w:asciiTheme="minorHAnsi" w:eastAsiaTheme="minorEastAsia" w:hAnsiTheme="minorHAnsi" w:cstheme="minorBidi"/>
              <w:b w:val="0"/>
              <w:bCs w:val="0"/>
              <w:caps w:val="0"/>
              <w:noProof/>
              <w:sz w:val="22"/>
              <w:szCs w:val="22"/>
            </w:rPr>
          </w:pPr>
          <w:hyperlink w:anchor="_Toc75263418" w:history="1">
            <w:r w:rsidR="007161F3" w:rsidRPr="00106646">
              <w:rPr>
                <w:rStyle w:val="Hypertextovodkaz"/>
                <w:noProof/>
              </w:rPr>
              <w:t>ZDROJE</w:t>
            </w:r>
            <w:r w:rsidR="007161F3">
              <w:rPr>
                <w:noProof/>
                <w:webHidden/>
              </w:rPr>
              <w:tab/>
            </w:r>
            <w:r w:rsidR="007161F3">
              <w:rPr>
                <w:noProof/>
                <w:webHidden/>
              </w:rPr>
              <w:fldChar w:fldCharType="begin"/>
            </w:r>
            <w:r w:rsidR="007161F3">
              <w:rPr>
                <w:noProof/>
                <w:webHidden/>
              </w:rPr>
              <w:instrText xml:space="preserve"> PAGEREF _Toc75263418 \h </w:instrText>
            </w:r>
            <w:r w:rsidR="007161F3">
              <w:rPr>
                <w:noProof/>
                <w:webHidden/>
              </w:rPr>
            </w:r>
            <w:r w:rsidR="007161F3">
              <w:rPr>
                <w:noProof/>
                <w:webHidden/>
              </w:rPr>
              <w:fldChar w:fldCharType="separate"/>
            </w:r>
            <w:r w:rsidR="00CA789D">
              <w:rPr>
                <w:noProof/>
                <w:webHidden/>
              </w:rPr>
              <w:t>22</w:t>
            </w:r>
            <w:r w:rsidR="007161F3">
              <w:rPr>
                <w:noProof/>
                <w:webHidden/>
              </w:rPr>
              <w:fldChar w:fldCharType="end"/>
            </w:r>
          </w:hyperlink>
        </w:p>
        <w:p w14:paraId="0849A0D5" w14:textId="3E012F7A" w:rsidR="00310D76" w:rsidRDefault="00310D76">
          <w:r>
            <w:rPr>
              <w:b/>
              <w:bCs/>
            </w:rPr>
            <w:fldChar w:fldCharType="end"/>
          </w:r>
        </w:p>
      </w:sdtContent>
    </w:sdt>
    <w:p w14:paraId="7BA36F22" w14:textId="77777777" w:rsidR="00DA7E0D" w:rsidRDefault="00DA7E0D" w:rsidP="00DA7E0D"/>
    <w:p w14:paraId="47EB6782" w14:textId="77777777" w:rsidR="00DA7E0D" w:rsidRDefault="00DA7E0D" w:rsidP="00DA7E0D"/>
    <w:p w14:paraId="2CEEBF51" w14:textId="77777777" w:rsidR="00DA7E0D" w:rsidRDefault="00DA7E0D" w:rsidP="00DA7E0D"/>
    <w:p w14:paraId="5E2E5F24" w14:textId="77777777" w:rsidR="00DA7E0D" w:rsidRDefault="00DA7E0D" w:rsidP="00DA7E0D"/>
    <w:p w14:paraId="3404C451" w14:textId="77777777" w:rsidR="00DA7E0D" w:rsidRDefault="00DA7E0D" w:rsidP="00DA7E0D"/>
    <w:p w14:paraId="35EC21E8" w14:textId="3C2C3CAF" w:rsidR="00DA7E0D" w:rsidRDefault="00310D76" w:rsidP="00B84ED1">
      <w:pPr>
        <w:pStyle w:val="Nadpis1"/>
        <w:numPr>
          <w:ilvl w:val="0"/>
          <w:numId w:val="4"/>
        </w:numPr>
        <w:ind w:left="432" w:hanging="432"/>
      </w:pPr>
      <w:r>
        <w:br w:type="page"/>
      </w:r>
      <w:bookmarkStart w:id="1" w:name="_Toc75263409"/>
      <w:r w:rsidR="00DA7E0D">
        <w:lastRenderedPageBreak/>
        <w:t>Úvod</w:t>
      </w:r>
      <w:bookmarkEnd w:id="1"/>
    </w:p>
    <w:p w14:paraId="3EDD89E3" w14:textId="0933D6B7" w:rsidR="00DA7E0D" w:rsidRPr="00CE217B" w:rsidRDefault="00DA7E0D" w:rsidP="00DA7E0D">
      <w:r w:rsidRPr="00CE217B">
        <w:t xml:space="preserve">Tato příloha </w:t>
      </w:r>
      <w:r>
        <w:t>rozvíjí p</w:t>
      </w:r>
      <w:r w:rsidRPr="00CE217B">
        <w:t xml:space="preserve">říklady dobré praxe využitelné pro dotační program Posilování kapacit nestátních neziskových organizací a nestátních subjektů </w:t>
      </w:r>
      <w:r w:rsidRPr="003A1A18">
        <w:rPr>
          <w:szCs w:val="22"/>
        </w:rPr>
        <w:t>pro rozvojovou spolupráci za léta 2017-2019</w:t>
      </w:r>
      <w:r w:rsidRPr="00CE217B">
        <w:t xml:space="preserve"> (Progra</w:t>
      </w:r>
      <w:r>
        <w:t>m</w:t>
      </w:r>
      <w:r w:rsidRPr="00CE217B">
        <w:t>) a reagující na identifikované nedostatky či bariéry pro jeho efektivní fungování. Dobré praxe jsou ve formě mini-případových studií</w:t>
      </w:r>
      <w:r>
        <w:t>/sond</w:t>
      </w:r>
      <w:r w:rsidRPr="00CE217B">
        <w:t>, zaměřen</w:t>
      </w:r>
      <w:r>
        <w:t>é</w:t>
      </w:r>
      <w:r w:rsidRPr="00CE217B">
        <w:t xml:space="preserve"> na několik oblastí, v různé míře podrobnosti v závislosti na charakteru představované dobré praxe.</w:t>
      </w:r>
    </w:p>
    <w:p w14:paraId="53FFA3AD" w14:textId="6ACB297F" w:rsidR="00DA7E0D" w:rsidRPr="00CE217B" w:rsidRDefault="00DA7E0D" w:rsidP="00B84ED1">
      <w:pPr>
        <w:pStyle w:val="Odstavecseseznamem"/>
        <w:numPr>
          <w:ilvl w:val="0"/>
          <w:numId w:val="14"/>
        </w:numPr>
        <w:spacing w:before="0" w:after="160" w:line="259" w:lineRule="auto"/>
        <w:contextualSpacing/>
      </w:pPr>
      <w:r w:rsidRPr="00CE217B">
        <w:t xml:space="preserve">Zaprvé se jedná o </w:t>
      </w:r>
      <w:r w:rsidRPr="00851FE3">
        <w:t>příklady dvou domácích dotačních</w:t>
      </w:r>
      <w:r w:rsidRPr="00CE217B">
        <w:t xml:space="preserve"> titulů orientovaných na nestátní neziskové organizace (NNO), pouze v jiném sektoru než ZRS (konkrétně životní prostředí a sociální začleňování). </w:t>
      </w:r>
      <w:r>
        <w:t xml:space="preserve">Jeden z příkladů je kapacitně orientovaný, obdobně jako je tomu v případě hodnoceného Programu, druhý příklad podporuje kapacity doplňkově. </w:t>
      </w:r>
      <w:r w:rsidRPr="00CE217B">
        <w:t>Řada parametrů a principů těchto dotačních titulů nicméně přesně zohledňuje potřeby a nedostatky, které byly pro Program v</w:t>
      </w:r>
      <w:r>
        <w:t xml:space="preserve"> rámci </w:t>
      </w:r>
      <w:r w:rsidRPr="00CE217B">
        <w:t xml:space="preserve">evaluace identifikovány a </w:t>
      </w:r>
      <w:r w:rsidR="00240FF6">
        <w:t>jsou</w:t>
      </w:r>
      <w:r w:rsidR="00240FF6" w:rsidRPr="00CE217B">
        <w:t xml:space="preserve"> </w:t>
      </w:r>
      <w:r w:rsidRPr="00CE217B">
        <w:t>podle našeho názoru přenositeln</w:t>
      </w:r>
      <w:r w:rsidR="00240FF6">
        <w:t>é</w:t>
      </w:r>
      <w:r w:rsidRPr="00CE217B">
        <w:t xml:space="preserve"> do „kapacitní podpory“ v rámci ZRS ČR.</w:t>
      </w:r>
    </w:p>
    <w:p w14:paraId="1137185D" w14:textId="1BDAC9A7" w:rsidR="00DA7E0D" w:rsidRPr="00CE217B" w:rsidRDefault="00DA7E0D" w:rsidP="00B84ED1">
      <w:pPr>
        <w:pStyle w:val="Odstavecseseznamem"/>
        <w:numPr>
          <w:ilvl w:val="0"/>
          <w:numId w:val="14"/>
        </w:numPr>
        <w:spacing w:before="0" w:after="160" w:line="259" w:lineRule="auto"/>
        <w:contextualSpacing/>
      </w:pPr>
      <w:r w:rsidRPr="00CE217B">
        <w:t>Zadruhé jde o příklady zahraniční dobré praxe</w:t>
      </w:r>
      <w:r w:rsidR="00240FF6">
        <w:t xml:space="preserve"> ukazující</w:t>
      </w:r>
      <w:r w:rsidRPr="00CE217B">
        <w:t>, jak účelně podporovat spolupráci soukromého a neziskového sektoru v rámci ZRS.</w:t>
      </w:r>
    </w:p>
    <w:p w14:paraId="09AE6C93" w14:textId="77777777" w:rsidR="00DA7E0D" w:rsidRPr="00CE217B" w:rsidRDefault="00DA7E0D" w:rsidP="00B84ED1">
      <w:pPr>
        <w:pStyle w:val="Odstavecseseznamem"/>
        <w:numPr>
          <w:ilvl w:val="0"/>
          <w:numId w:val="14"/>
        </w:numPr>
        <w:spacing w:before="0" w:after="160" w:line="259" w:lineRule="auto"/>
        <w:contextualSpacing/>
      </w:pPr>
      <w:r w:rsidRPr="00CE217B">
        <w:t xml:space="preserve">A zatřetí se jedná o shrnutí přístupů donorů z vyspělých zemí k podpoře kapacit realizátorů rozvojové spolupráce, partnerství a </w:t>
      </w:r>
      <w:proofErr w:type="spellStart"/>
      <w:r w:rsidRPr="008949D9">
        <w:rPr>
          <w:i/>
          <w:iCs/>
        </w:rPr>
        <w:t>core</w:t>
      </w:r>
      <w:proofErr w:type="spellEnd"/>
      <w:r w:rsidRPr="008949D9">
        <w:rPr>
          <w:i/>
          <w:iCs/>
        </w:rPr>
        <w:t xml:space="preserve"> </w:t>
      </w:r>
      <w:proofErr w:type="spellStart"/>
      <w:r w:rsidRPr="008949D9">
        <w:rPr>
          <w:i/>
          <w:iCs/>
        </w:rPr>
        <w:t>fundingu</w:t>
      </w:r>
      <w:proofErr w:type="spellEnd"/>
      <w:r w:rsidRPr="00CE217B">
        <w:t>.</w:t>
      </w:r>
    </w:p>
    <w:p w14:paraId="0387ED24" w14:textId="7F40EF87" w:rsidR="00DA7E0D" w:rsidRPr="00CE217B" w:rsidRDefault="00DA7E0D" w:rsidP="00DA7E0D">
      <w:r w:rsidRPr="00CE217B">
        <w:t xml:space="preserve">Přehledová tabulka níže shrnuje </w:t>
      </w:r>
      <w:r>
        <w:t>další</w:t>
      </w:r>
      <w:r w:rsidRPr="00CE217B">
        <w:t xml:space="preserve"> </w:t>
      </w:r>
      <w:r>
        <w:t xml:space="preserve">doplňkové </w:t>
      </w:r>
      <w:r w:rsidRPr="00CE217B">
        <w:t>příklady dobré praxe</w:t>
      </w:r>
      <w:r>
        <w:t xml:space="preserve"> </w:t>
      </w:r>
      <w:r w:rsidRPr="00CE217B">
        <w:t>několik</w:t>
      </w:r>
      <w:r>
        <w:t>a</w:t>
      </w:r>
      <w:r w:rsidRPr="00CE217B">
        <w:t xml:space="preserve"> nástrojů s uvedenými hlavními charakteristikami, které nejsou sice v rámci této evaluace podrobně představeny, byly nicméně také shledány jako potenciálně užitečné příklady pro hodnocený Program a je možné si v případě zájmu o danou implikaci pro ZRS </w:t>
      </w:r>
      <w:r w:rsidR="00240FF6">
        <w:t xml:space="preserve">ČR </w:t>
      </w:r>
      <w:r w:rsidRPr="00CE217B">
        <w:t xml:space="preserve">další informace dohledat. </w:t>
      </w:r>
    </w:p>
    <w:p w14:paraId="10A1383A" w14:textId="77777777" w:rsidR="00DA7E0D" w:rsidRPr="00CE217B" w:rsidRDefault="00DA7E0D" w:rsidP="00DA7E0D">
      <w:pPr>
        <w:rPr>
          <w:b/>
          <w:bCs/>
        </w:rPr>
      </w:pPr>
      <w:r w:rsidRPr="00310D76">
        <w:rPr>
          <w:b/>
          <w:bCs/>
        </w:rPr>
        <w:t>Tabulka 1: Přehled doplňkových příkladů dobré praxe</w:t>
      </w:r>
      <w:r w:rsidRPr="00CE217B">
        <w:rPr>
          <w:b/>
          <w:bCs/>
        </w:rPr>
        <w:t xml:space="preserve"> </w:t>
      </w:r>
    </w:p>
    <w:tbl>
      <w:tblPr>
        <w:tblStyle w:val="Mkatabulky"/>
        <w:tblW w:w="0" w:type="auto"/>
        <w:tblInd w:w="-5" w:type="dxa"/>
        <w:tblLook w:val="04A0" w:firstRow="1" w:lastRow="0" w:firstColumn="1" w:lastColumn="0" w:noHBand="0" w:noVBand="1"/>
      </w:tblPr>
      <w:tblGrid>
        <w:gridCol w:w="2410"/>
        <w:gridCol w:w="3590"/>
        <w:gridCol w:w="3067"/>
      </w:tblGrid>
      <w:tr w:rsidR="00DA7E0D" w:rsidRPr="00CE217B" w14:paraId="2588C58C" w14:textId="77777777" w:rsidTr="00AD5FA3">
        <w:tc>
          <w:tcPr>
            <w:tcW w:w="2410" w:type="dxa"/>
            <w:shd w:val="clear" w:color="auto" w:fill="E7E6E6" w:themeFill="background2"/>
          </w:tcPr>
          <w:p w14:paraId="13F6BAC0" w14:textId="77777777" w:rsidR="00DA7E0D" w:rsidRPr="00CE217B" w:rsidRDefault="00DA7E0D" w:rsidP="00AD5FA3">
            <w:pPr>
              <w:rPr>
                <w:b/>
                <w:bCs/>
              </w:rPr>
            </w:pPr>
            <w:r w:rsidRPr="00CE217B">
              <w:rPr>
                <w:b/>
                <w:bCs/>
              </w:rPr>
              <w:t>Název nástroje</w:t>
            </w:r>
          </w:p>
        </w:tc>
        <w:tc>
          <w:tcPr>
            <w:tcW w:w="3590" w:type="dxa"/>
            <w:shd w:val="clear" w:color="auto" w:fill="E7E6E6" w:themeFill="background2"/>
          </w:tcPr>
          <w:p w14:paraId="7B671BA2" w14:textId="77777777" w:rsidR="00DA7E0D" w:rsidRPr="00CE217B" w:rsidRDefault="00DA7E0D" w:rsidP="00AD5FA3">
            <w:pPr>
              <w:rPr>
                <w:b/>
                <w:bCs/>
              </w:rPr>
            </w:pPr>
            <w:r w:rsidRPr="00CE217B">
              <w:rPr>
                <w:b/>
                <w:bCs/>
              </w:rPr>
              <w:t>Popis</w:t>
            </w:r>
          </w:p>
        </w:tc>
        <w:tc>
          <w:tcPr>
            <w:tcW w:w="3067" w:type="dxa"/>
            <w:shd w:val="clear" w:color="auto" w:fill="E7E6E6" w:themeFill="background2"/>
          </w:tcPr>
          <w:p w14:paraId="3D9C056C" w14:textId="77777777" w:rsidR="00DA7E0D" w:rsidRPr="00CE217B" w:rsidRDefault="00DA7E0D" w:rsidP="00AD5FA3">
            <w:pPr>
              <w:rPr>
                <w:b/>
                <w:bCs/>
              </w:rPr>
            </w:pPr>
            <w:r w:rsidRPr="00CE217B">
              <w:rPr>
                <w:b/>
                <w:bCs/>
              </w:rPr>
              <w:t>Klíčová oblast dobré praxe relevantní pro Program</w:t>
            </w:r>
          </w:p>
        </w:tc>
      </w:tr>
      <w:tr w:rsidR="00DA7E0D" w:rsidRPr="00CE217B" w14:paraId="441781F2" w14:textId="77777777" w:rsidTr="00AD5FA3">
        <w:tc>
          <w:tcPr>
            <w:tcW w:w="2410" w:type="dxa"/>
          </w:tcPr>
          <w:p w14:paraId="0B0F4003" w14:textId="77777777" w:rsidR="00DA7E0D" w:rsidRPr="00CE217B" w:rsidRDefault="00DA7E0D" w:rsidP="00AD5FA3">
            <w:pPr>
              <w:pStyle w:val="zjitn"/>
              <w:numPr>
                <w:ilvl w:val="0"/>
                <w:numId w:val="0"/>
              </w:numPr>
              <w:rPr>
                <w:sz w:val="20"/>
                <w:szCs w:val="20"/>
              </w:rPr>
            </w:pPr>
            <w:bookmarkStart w:id="2" w:name="_Hlk75182496"/>
            <w:proofErr w:type="spellStart"/>
            <w:r w:rsidRPr="00CE217B">
              <w:rPr>
                <w:b/>
                <w:bCs/>
                <w:sz w:val="20"/>
                <w:szCs w:val="20"/>
              </w:rPr>
              <w:t>Active</w:t>
            </w:r>
            <w:proofErr w:type="spellEnd"/>
            <w:r w:rsidRPr="00CE217B">
              <w:rPr>
                <w:b/>
                <w:bCs/>
                <w:sz w:val="20"/>
                <w:szCs w:val="20"/>
              </w:rPr>
              <w:t xml:space="preserve"> </w:t>
            </w:r>
            <w:proofErr w:type="spellStart"/>
            <w:r w:rsidRPr="00CE217B">
              <w:rPr>
                <w:b/>
                <w:bCs/>
                <w:sz w:val="20"/>
                <w:szCs w:val="20"/>
              </w:rPr>
              <w:t>Citizens</w:t>
            </w:r>
            <w:proofErr w:type="spellEnd"/>
            <w:r w:rsidRPr="00CE217B">
              <w:rPr>
                <w:b/>
                <w:bCs/>
                <w:sz w:val="20"/>
                <w:szCs w:val="20"/>
              </w:rPr>
              <w:t xml:space="preserve"> </w:t>
            </w:r>
            <w:proofErr w:type="spellStart"/>
            <w:r w:rsidRPr="00CE217B">
              <w:rPr>
                <w:b/>
                <w:bCs/>
                <w:sz w:val="20"/>
                <w:szCs w:val="20"/>
              </w:rPr>
              <w:t>Fund</w:t>
            </w:r>
            <w:bookmarkEnd w:id="2"/>
            <w:proofErr w:type="spellEnd"/>
            <w:r w:rsidRPr="00CE217B">
              <w:rPr>
                <w:rStyle w:val="Znakapoznpodarou"/>
                <w:b/>
                <w:bCs/>
                <w:sz w:val="20"/>
                <w:szCs w:val="20"/>
              </w:rPr>
              <w:footnoteReference w:id="2"/>
            </w:r>
            <w:r w:rsidRPr="00CE217B">
              <w:rPr>
                <w:sz w:val="20"/>
                <w:szCs w:val="20"/>
              </w:rPr>
              <w:t xml:space="preserve"> (ACF)</w:t>
            </w:r>
          </w:p>
        </w:tc>
        <w:tc>
          <w:tcPr>
            <w:tcW w:w="3590" w:type="dxa"/>
          </w:tcPr>
          <w:p w14:paraId="631776C0" w14:textId="77777777" w:rsidR="00DA7E0D" w:rsidRPr="00CE217B" w:rsidRDefault="00DA7E0D" w:rsidP="00AD5FA3">
            <w:pPr>
              <w:pStyle w:val="zjitn"/>
              <w:numPr>
                <w:ilvl w:val="0"/>
                <w:numId w:val="0"/>
              </w:numPr>
              <w:rPr>
                <w:sz w:val="20"/>
                <w:szCs w:val="20"/>
              </w:rPr>
            </w:pPr>
            <w:r w:rsidRPr="00CE217B">
              <w:rPr>
                <w:sz w:val="20"/>
                <w:szCs w:val="20"/>
              </w:rPr>
              <w:t xml:space="preserve">Cílem programu je posílení občanské společnosti, aktivního občanství a zmocnění znevýhodněných skupin. Rozdělování finančních prostředků formou různých grantů je vedeno snahou zvýšit kapacity občanského sektoru a jeho udržitelnost. Je realizován v rámci Fondů Evropského hospodářského prostoru a Norska 2014–2021 a je podpořen částkou 15 milionů Eur. V České republice jej spravuje Konsorcium, které tvoří Nadace OSF, Výbor dobré vůle – Nadace Olgy Havlové a Skautský institut. V rámci programu realizuje konsorcium také dva vlastní projekty.  Jedním z projektů je Posílení kapacit, dovedností a schopností organizací občanské společnosti v advokační práci. V jeho rámci je poskytována metodická a strategická podpora vytvořená přímo na míru konkrétním organizacím, konzultace v oblasti advokační práce a podpor její udržitelnosti, podpora komunikace a </w:t>
            </w:r>
            <w:r w:rsidRPr="00CE217B">
              <w:rPr>
                <w:sz w:val="20"/>
                <w:szCs w:val="20"/>
              </w:rPr>
              <w:lastRenderedPageBreak/>
              <w:t xml:space="preserve">propojování napříč jednotlivými organizacemi občanské společnosti. </w:t>
            </w:r>
            <w:r w:rsidRPr="00CE217B">
              <w:rPr>
                <w:sz w:val="20"/>
                <w:szCs w:val="20"/>
              </w:rPr>
              <w:br/>
              <w:t>Program dále poskytuje podpůrné aktivity pro organizace občanské společnosti, jako vzdělávací workshopy, studijní cesty či prezentace expertů z dárcovských zemí a síťovací setkání, s cílem propojovat jednotlivé aktéry, navazovat nová partnerství a sdílet výstupy podpořených projektů.</w:t>
            </w:r>
            <w:r w:rsidRPr="00CE217B">
              <w:rPr>
                <w:sz w:val="20"/>
                <w:szCs w:val="20"/>
              </w:rPr>
              <w:br/>
              <w:t>V rámci ACF je také vyhlášena průběžná výzva pro neziskové organizace k předkládání žádostí o grant na rozvoj znalostí a dovedností pro používání digitálních technologií a širší využívání digitálních nástrojů pro svou činnost a chod organizace.</w:t>
            </w:r>
          </w:p>
        </w:tc>
        <w:tc>
          <w:tcPr>
            <w:tcW w:w="3067" w:type="dxa"/>
          </w:tcPr>
          <w:p w14:paraId="16337E6B" w14:textId="77777777" w:rsidR="00DA7E0D" w:rsidRPr="00CE217B" w:rsidRDefault="00DA7E0D" w:rsidP="00AD5FA3">
            <w:pPr>
              <w:pStyle w:val="zjitn"/>
              <w:numPr>
                <w:ilvl w:val="0"/>
                <w:numId w:val="0"/>
              </w:numPr>
              <w:rPr>
                <w:sz w:val="20"/>
                <w:szCs w:val="20"/>
              </w:rPr>
            </w:pPr>
            <w:r w:rsidRPr="00CE217B">
              <w:rPr>
                <w:sz w:val="20"/>
                <w:szCs w:val="20"/>
              </w:rPr>
              <w:lastRenderedPageBreak/>
              <w:t>Výzva reaguje na aktuální potřeby NNO identifikované evaluačním šetřením v oblasti digitalizace. Lze se inspirovat jejím nastavením.</w:t>
            </w:r>
          </w:p>
          <w:p w14:paraId="50857A1B" w14:textId="77777777" w:rsidR="00DA7E0D" w:rsidRPr="00CE217B" w:rsidRDefault="00DA7E0D" w:rsidP="00AD5FA3">
            <w:pPr>
              <w:pStyle w:val="zjitn"/>
              <w:numPr>
                <w:ilvl w:val="0"/>
                <w:numId w:val="0"/>
              </w:numPr>
              <w:rPr>
                <w:sz w:val="20"/>
                <w:szCs w:val="20"/>
              </w:rPr>
            </w:pPr>
          </w:p>
          <w:p w14:paraId="2BAA303B" w14:textId="77777777" w:rsidR="00DA7E0D" w:rsidRPr="00CE217B" w:rsidRDefault="00DA7E0D" w:rsidP="00AD5FA3">
            <w:pPr>
              <w:pStyle w:val="zjitn"/>
              <w:numPr>
                <w:ilvl w:val="0"/>
                <w:numId w:val="0"/>
              </w:numPr>
              <w:spacing w:line="259" w:lineRule="auto"/>
              <w:rPr>
                <w:sz w:val="20"/>
                <w:szCs w:val="20"/>
              </w:rPr>
            </w:pPr>
            <w:r w:rsidRPr="00CE217B">
              <w:rPr>
                <w:sz w:val="20"/>
                <w:szCs w:val="20"/>
              </w:rPr>
              <w:t>Smyslem výzvy je digitalizovat NNO, aby:</w:t>
            </w:r>
          </w:p>
          <w:p w14:paraId="3B0919C8" w14:textId="77777777" w:rsidR="00DA7E0D" w:rsidRPr="00CE217B" w:rsidRDefault="00DA7E0D" w:rsidP="00B84ED1">
            <w:pPr>
              <w:pStyle w:val="Odstavecseseznamem"/>
              <w:numPr>
                <w:ilvl w:val="0"/>
                <w:numId w:val="12"/>
              </w:numPr>
              <w:spacing w:before="0" w:after="60"/>
              <w:ind w:left="278"/>
              <w:contextualSpacing/>
              <w:rPr>
                <w:sz w:val="20"/>
                <w:szCs w:val="20"/>
              </w:rPr>
            </w:pPr>
            <w:r w:rsidRPr="00CE217B">
              <w:rPr>
                <w:sz w:val="20"/>
                <w:szCs w:val="20"/>
              </w:rPr>
              <w:t>cíleně a efektivněji používaly digitální nástroje pro svou práci, organizaci aktivit, poskytování služeb, komunikaci s cílovými skupinami apod.;</w:t>
            </w:r>
          </w:p>
          <w:p w14:paraId="672ED908" w14:textId="77777777" w:rsidR="00DA7E0D" w:rsidRPr="00CE217B" w:rsidRDefault="00DA7E0D" w:rsidP="00B84ED1">
            <w:pPr>
              <w:pStyle w:val="Odstavecseseznamem"/>
              <w:numPr>
                <w:ilvl w:val="0"/>
                <w:numId w:val="12"/>
              </w:numPr>
              <w:spacing w:before="0" w:after="60"/>
              <w:ind w:left="278"/>
              <w:contextualSpacing/>
              <w:rPr>
                <w:sz w:val="20"/>
                <w:szCs w:val="20"/>
              </w:rPr>
            </w:pPr>
            <w:r w:rsidRPr="00CE217B">
              <w:rPr>
                <w:sz w:val="20"/>
                <w:szCs w:val="20"/>
              </w:rPr>
              <w:t xml:space="preserve">více využívaly technologie pro nabídku svých služeb (tzv. </w:t>
            </w:r>
            <w:proofErr w:type="spellStart"/>
            <w:r w:rsidRPr="00CE217B">
              <w:rPr>
                <w:i/>
                <w:iCs/>
                <w:sz w:val="20"/>
                <w:szCs w:val="20"/>
              </w:rPr>
              <w:t>civic</w:t>
            </w:r>
            <w:proofErr w:type="spellEnd"/>
            <w:r w:rsidRPr="00CE217B">
              <w:rPr>
                <w:i/>
                <w:iCs/>
                <w:sz w:val="20"/>
                <w:szCs w:val="20"/>
              </w:rPr>
              <w:t xml:space="preserve"> tech</w:t>
            </w:r>
            <w:r w:rsidRPr="00CE217B">
              <w:rPr>
                <w:sz w:val="20"/>
                <w:szCs w:val="20"/>
              </w:rPr>
              <w:t>), které umožní širší participaci zejména zástupcům znevýhodněných skupin a umožní lepší dostupnost služeb/aktivit/úřadů pro všechny cílové skupiny;</w:t>
            </w:r>
          </w:p>
          <w:p w14:paraId="0B48FDC6" w14:textId="77777777" w:rsidR="00DA7E0D" w:rsidRPr="00CE217B" w:rsidRDefault="00DA7E0D" w:rsidP="00B84ED1">
            <w:pPr>
              <w:pStyle w:val="Odstavecseseznamem"/>
              <w:numPr>
                <w:ilvl w:val="0"/>
                <w:numId w:val="12"/>
              </w:numPr>
              <w:spacing w:before="0" w:after="60"/>
              <w:ind w:left="278"/>
              <w:contextualSpacing/>
              <w:rPr>
                <w:sz w:val="20"/>
                <w:szCs w:val="20"/>
              </w:rPr>
            </w:pPr>
            <w:r w:rsidRPr="00CE217B">
              <w:rPr>
                <w:sz w:val="20"/>
                <w:szCs w:val="20"/>
              </w:rPr>
              <w:t xml:space="preserve">více využívaly technologie jako nástroje pro aktivní občanství, které umožní širší zapojení lidí </w:t>
            </w:r>
            <w:r w:rsidRPr="00CE217B">
              <w:rPr>
                <w:sz w:val="20"/>
                <w:szCs w:val="20"/>
              </w:rPr>
              <w:lastRenderedPageBreak/>
              <w:t>do fungování a rozhodování na úrovni obce/města/státu, usnadní komunikaci občanů se zastupiteli, zlepší dostupnost úřadů apod.</w:t>
            </w:r>
          </w:p>
          <w:p w14:paraId="0A3C3DB2" w14:textId="77777777" w:rsidR="00DA7E0D" w:rsidRPr="00CE217B" w:rsidRDefault="00DA7E0D" w:rsidP="00AD5FA3">
            <w:pPr>
              <w:pStyle w:val="zjitn"/>
              <w:numPr>
                <w:ilvl w:val="0"/>
                <w:numId w:val="0"/>
              </w:numPr>
              <w:rPr>
                <w:sz w:val="20"/>
                <w:szCs w:val="20"/>
              </w:rPr>
            </w:pPr>
          </w:p>
        </w:tc>
      </w:tr>
      <w:tr w:rsidR="00DA7E0D" w:rsidRPr="00CE217B" w14:paraId="63FB4450" w14:textId="77777777" w:rsidTr="00AD5FA3">
        <w:tc>
          <w:tcPr>
            <w:tcW w:w="2410" w:type="dxa"/>
          </w:tcPr>
          <w:p w14:paraId="54E1082A" w14:textId="77777777" w:rsidR="00DA7E0D" w:rsidRPr="00CE217B" w:rsidRDefault="00DA7E0D" w:rsidP="00AD5FA3">
            <w:pPr>
              <w:pStyle w:val="zjitn"/>
              <w:numPr>
                <w:ilvl w:val="0"/>
                <w:numId w:val="0"/>
              </w:numPr>
              <w:rPr>
                <w:b/>
                <w:bCs/>
                <w:sz w:val="20"/>
                <w:szCs w:val="20"/>
              </w:rPr>
            </w:pPr>
            <w:r w:rsidRPr="00CE217B">
              <w:rPr>
                <w:b/>
                <w:bCs/>
                <w:sz w:val="20"/>
                <w:szCs w:val="20"/>
              </w:rPr>
              <w:lastRenderedPageBreak/>
              <w:t>Program LIFE</w:t>
            </w:r>
            <w:r w:rsidRPr="00CE217B">
              <w:rPr>
                <w:rStyle w:val="Znakapoznpodarou"/>
                <w:b/>
                <w:bCs/>
                <w:sz w:val="20"/>
                <w:szCs w:val="20"/>
              </w:rPr>
              <w:footnoteReference w:id="3"/>
            </w:r>
          </w:p>
          <w:p w14:paraId="580318A2" w14:textId="77777777" w:rsidR="00DA7E0D" w:rsidRPr="00CE217B" w:rsidRDefault="00DA7E0D" w:rsidP="00AD5FA3">
            <w:pPr>
              <w:rPr>
                <w:sz w:val="20"/>
                <w:szCs w:val="20"/>
              </w:rPr>
            </w:pPr>
          </w:p>
        </w:tc>
        <w:tc>
          <w:tcPr>
            <w:tcW w:w="3590" w:type="dxa"/>
          </w:tcPr>
          <w:p w14:paraId="09D4F5D7" w14:textId="77777777" w:rsidR="00DA7E0D" w:rsidRPr="00CE217B" w:rsidRDefault="00DA7E0D" w:rsidP="00AD5FA3">
            <w:pPr>
              <w:pStyle w:val="zjitn"/>
              <w:numPr>
                <w:ilvl w:val="0"/>
                <w:numId w:val="0"/>
              </w:numPr>
              <w:rPr>
                <w:sz w:val="20"/>
                <w:szCs w:val="20"/>
              </w:rPr>
            </w:pPr>
            <w:r w:rsidRPr="00CE217B">
              <w:rPr>
                <w:sz w:val="20"/>
                <w:szCs w:val="20"/>
              </w:rPr>
              <w:t>Jde o komplexnější finanční nástroj EU pro životní prostředí a klima. V samostatné výzvě programu LIFE se mohou neziskové organizace s přeshraniční působností ucházet o dvouleté operační granty, které poskytují podporu na určité provozní a administrativní náklady neziskových subjektů podílejících se na rozvoji, provádění a kontrole dodržování politiky a právních předpisů Unie.</w:t>
            </w:r>
          </w:p>
        </w:tc>
        <w:tc>
          <w:tcPr>
            <w:tcW w:w="3067" w:type="dxa"/>
          </w:tcPr>
          <w:p w14:paraId="49E7FDAA" w14:textId="2AA51D52" w:rsidR="00DA7E0D" w:rsidRPr="00CE217B" w:rsidRDefault="00DA7E0D" w:rsidP="00AD5FA3">
            <w:pPr>
              <w:pStyle w:val="zjitn"/>
              <w:numPr>
                <w:ilvl w:val="0"/>
                <w:numId w:val="0"/>
              </w:numPr>
              <w:rPr>
                <w:sz w:val="20"/>
                <w:szCs w:val="20"/>
              </w:rPr>
            </w:pPr>
            <w:r w:rsidRPr="00CE217B">
              <w:rPr>
                <w:sz w:val="20"/>
                <w:szCs w:val="20"/>
              </w:rPr>
              <w:t>Podpora provozních a administrativních nákladů neziskových organizací, které působí v určitém tématu a podílejí</w:t>
            </w:r>
            <w:r w:rsidR="00AF4384">
              <w:rPr>
                <w:sz w:val="20"/>
                <w:szCs w:val="20"/>
              </w:rPr>
              <w:t xml:space="preserve"> </w:t>
            </w:r>
            <w:r w:rsidRPr="00CE217B">
              <w:rPr>
                <w:sz w:val="20"/>
                <w:szCs w:val="20"/>
              </w:rPr>
              <w:t>se na provádění jedné z tematických politik EU.</w:t>
            </w:r>
          </w:p>
        </w:tc>
      </w:tr>
      <w:tr w:rsidR="00DA7E0D" w:rsidRPr="00CE217B" w14:paraId="3828FD9E" w14:textId="77777777" w:rsidTr="00AD5FA3">
        <w:tc>
          <w:tcPr>
            <w:tcW w:w="2410" w:type="dxa"/>
          </w:tcPr>
          <w:p w14:paraId="39789DEF" w14:textId="77777777" w:rsidR="00DA7E0D" w:rsidRPr="00CE217B" w:rsidRDefault="00DA7E0D" w:rsidP="00AD5FA3">
            <w:pPr>
              <w:rPr>
                <w:b/>
                <w:bCs/>
                <w:sz w:val="20"/>
                <w:szCs w:val="20"/>
              </w:rPr>
            </w:pPr>
            <w:r w:rsidRPr="00CE217B">
              <w:rPr>
                <w:b/>
                <w:bCs/>
                <w:sz w:val="20"/>
                <w:szCs w:val="20"/>
              </w:rPr>
              <w:t>Dotační program Úřadu vlády na podporu střech a sítí NNO</w:t>
            </w:r>
          </w:p>
        </w:tc>
        <w:tc>
          <w:tcPr>
            <w:tcW w:w="3590" w:type="dxa"/>
          </w:tcPr>
          <w:p w14:paraId="634FB0BD" w14:textId="77777777" w:rsidR="00DA7E0D" w:rsidRPr="00CE217B" w:rsidRDefault="00DA7E0D" w:rsidP="00AD5FA3">
            <w:pPr>
              <w:pStyle w:val="zjitn"/>
              <w:numPr>
                <w:ilvl w:val="0"/>
                <w:numId w:val="0"/>
              </w:numPr>
              <w:rPr>
                <w:sz w:val="20"/>
                <w:szCs w:val="20"/>
                <w:highlight w:val="yellow"/>
              </w:rPr>
            </w:pPr>
            <w:r w:rsidRPr="00CE217B">
              <w:rPr>
                <w:sz w:val="20"/>
                <w:szCs w:val="20"/>
              </w:rPr>
              <w:t xml:space="preserve">Kapacitní podpora zaměřená na nejvyšší vrstvu spolupráce neziskového sektoru (oborové sítě), s akcentem na </w:t>
            </w:r>
            <w:proofErr w:type="spellStart"/>
            <w:r w:rsidRPr="00CE217B">
              <w:rPr>
                <w:sz w:val="20"/>
                <w:szCs w:val="20"/>
              </w:rPr>
              <w:t>nadoborové</w:t>
            </w:r>
            <w:proofErr w:type="spellEnd"/>
            <w:r w:rsidRPr="00CE217B">
              <w:rPr>
                <w:sz w:val="20"/>
                <w:szCs w:val="20"/>
              </w:rPr>
              <w:t xml:space="preserve"> platformy. Podpora je poskytována za účelem podpoření celostátních mezioborových sítí NNO, „aby se staly kompetentními, kvalifikovanými a legitimními subjekty, zastupujícími zájmy svých členů navenek a zprostředkujícími informace, zkušenosti a znalosti mezi svými členy a dalšími NNO“. Jde tak vlastně o podporu kapacit, které přesahují pouhý instrumentální rozměr. </w:t>
            </w:r>
          </w:p>
        </w:tc>
        <w:tc>
          <w:tcPr>
            <w:tcW w:w="3067" w:type="dxa"/>
          </w:tcPr>
          <w:p w14:paraId="033C377A" w14:textId="77777777" w:rsidR="00DA7E0D" w:rsidRPr="00CE217B" w:rsidRDefault="00DA7E0D" w:rsidP="00AD5FA3">
            <w:pPr>
              <w:pStyle w:val="zjitn"/>
              <w:numPr>
                <w:ilvl w:val="0"/>
                <w:numId w:val="0"/>
              </w:numPr>
              <w:rPr>
                <w:sz w:val="20"/>
                <w:szCs w:val="20"/>
              </w:rPr>
            </w:pPr>
            <w:r w:rsidRPr="00CE217B">
              <w:rPr>
                <w:sz w:val="20"/>
                <w:szCs w:val="20"/>
              </w:rPr>
              <w:t xml:space="preserve">Jasná identifikace </w:t>
            </w:r>
            <w:proofErr w:type="spellStart"/>
            <w:r w:rsidRPr="00E60AA8">
              <w:rPr>
                <w:i/>
                <w:iCs/>
                <w:sz w:val="20"/>
                <w:szCs w:val="20"/>
              </w:rPr>
              <w:t>policy</w:t>
            </w:r>
            <w:proofErr w:type="spellEnd"/>
            <w:r w:rsidRPr="00E60AA8">
              <w:rPr>
                <w:i/>
                <w:iCs/>
                <w:sz w:val="20"/>
                <w:szCs w:val="20"/>
              </w:rPr>
              <w:t xml:space="preserve"> partnerů</w:t>
            </w:r>
            <w:r w:rsidRPr="00CE217B">
              <w:rPr>
                <w:sz w:val="20"/>
                <w:szCs w:val="20"/>
              </w:rPr>
              <w:t xml:space="preserve">, prověřována jejich reprezentativnost a expertní zkušenost.  </w:t>
            </w:r>
          </w:p>
        </w:tc>
      </w:tr>
    </w:tbl>
    <w:p w14:paraId="17965605" w14:textId="77777777" w:rsidR="00DA7E0D" w:rsidRDefault="00DA7E0D" w:rsidP="00DA7E0D">
      <w:pPr>
        <w:pStyle w:val="zjitn"/>
        <w:numPr>
          <w:ilvl w:val="0"/>
          <w:numId w:val="0"/>
        </w:numPr>
        <w:ind w:left="360" w:hanging="360"/>
      </w:pPr>
    </w:p>
    <w:p w14:paraId="7D6EAA18" w14:textId="77777777" w:rsidR="00DA7E0D" w:rsidRPr="00CE217B" w:rsidRDefault="00DA7E0D" w:rsidP="00B84ED1">
      <w:pPr>
        <w:pStyle w:val="Nadpis1"/>
        <w:numPr>
          <w:ilvl w:val="0"/>
          <w:numId w:val="4"/>
        </w:numPr>
        <w:ind w:left="432" w:hanging="432"/>
      </w:pPr>
      <w:bookmarkStart w:id="3" w:name="_Toc75263410"/>
      <w:r w:rsidRPr="00CE217B">
        <w:t>Dobrá praxe domácích sektorově orientovaných kapacitních nástrojů</w:t>
      </w:r>
      <w:bookmarkEnd w:id="3"/>
    </w:p>
    <w:p w14:paraId="19806856" w14:textId="1B62A3F0" w:rsidR="00DA7E0D" w:rsidRPr="00695617" w:rsidRDefault="00DA7E0D" w:rsidP="00310D76">
      <w:pPr>
        <w:rPr>
          <w:b/>
          <w:bCs/>
        </w:rPr>
      </w:pPr>
      <w:r>
        <w:t xml:space="preserve">Jak bylo uvedeno v úvodu přílohy, zaměřili jsme se v evaluaci na dva </w:t>
      </w:r>
      <w:r w:rsidRPr="00695617">
        <w:t xml:space="preserve">příklady domácích dotačních titulů </w:t>
      </w:r>
      <w:r>
        <w:t>pro</w:t>
      </w:r>
      <w:r w:rsidRPr="00695617">
        <w:t xml:space="preserve"> NNO, pouze v jiném sektoru než ZRS (konkrétně životní prostředí a sociální začleňování). </w:t>
      </w:r>
      <w:r>
        <w:t xml:space="preserve">Jeden z nich je orientován kapacitně, druhý kapacity NNO podporuje doplňkově. </w:t>
      </w:r>
      <w:r w:rsidRPr="00695617">
        <w:t>Řada parametrů a principů těchto dotačních titulů nicméně přesně zohledňuje potřeby a nedostatky, které byly pro evaluovaný Program v</w:t>
      </w:r>
      <w:r>
        <w:t xml:space="preserve"> rámci </w:t>
      </w:r>
      <w:r w:rsidRPr="00695617">
        <w:t xml:space="preserve">evaluace identifikovány, a </w:t>
      </w:r>
      <w:r>
        <w:t xml:space="preserve">zároveň jde o parametry a principy, které </w:t>
      </w:r>
      <w:r w:rsidRPr="00695617">
        <w:t>jsou podle našeho názoru přenositelné do „kapacitní podpory“ v rámci ZRS ČR.</w:t>
      </w:r>
      <w:r>
        <w:t xml:space="preserve"> Dobrá praxe z oblasti životního prostředí (</w:t>
      </w:r>
      <w:r w:rsidRPr="00695617">
        <w:t xml:space="preserve">konkrétně Program na podporu projektů nevládních a neziskových organizací – Podprogram A </w:t>
      </w:r>
      <w:proofErr w:type="spellStart"/>
      <w:r w:rsidRPr="00695617">
        <w:t>a</w:t>
      </w:r>
      <w:proofErr w:type="spellEnd"/>
      <w:r w:rsidRPr="00695617">
        <w:t xml:space="preserve"> Podprogram C – </w:t>
      </w:r>
      <w:proofErr w:type="spellStart"/>
      <w:r w:rsidRPr="00695617">
        <w:t>gestorovan</w:t>
      </w:r>
      <w:r>
        <w:t>ý</w:t>
      </w:r>
      <w:proofErr w:type="spellEnd"/>
      <w:r w:rsidRPr="00695617">
        <w:t xml:space="preserve"> </w:t>
      </w:r>
      <w:r>
        <w:lastRenderedPageBreak/>
        <w:t>M</w:t>
      </w:r>
      <w:r w:rsidRPr="00695617">
        <w:t>inisterstvem životního prostředí</w:t>
      </w:r>
      <w:r>
        <w:t xml:space="preserve"> ČR</w:t>
      </w:r>
      <w:r w:rsidRPr="00695617">
        <w:t>)</w:t>
      </w:r>
      <w:r w:rsidR="00802D18">
        <w:t xml:space="preserve"> a d</w:t>
      </w:r>
      <w:r>
        <w:t>obr</w:t>
      </w:r>
      <w:r w:rsidR="00802D18">
        <w:t>á</w:t>
      </w:r>
      <w:r>
        <w:t xml:space="preserve"> prax</w:t>
      </w:r>
      <w:r w:rsidR="00802D18">
        <w:t>e</w:t>
      </w:r>
      <w:r>
        <w:t xml:space="preserve"> z kapacitní podpory NNO ve sféře sociálního začleňování, rovnosti žen a mužů a rovných příležitostí</w:t>
      </w:r>
      <w:r w:rsidR="00802D18">
        <w:t xml:space="preserve"> jsou</w:t>
      </w:r>
      <w:r>
        <w:t xml:space="preserve"> uv</w:t>
      </w:r>
      <w:r w:rsidR="00802D18">
        <w:t>edeny</w:t>
      </w:r>
      <w:r>
        <w:t xml:space="preserve"> níže.</w:t>
      </w:r>
    </w:p>
    <w:p w14:paraId="674EB98A" w14:textId="516A8E37" w:rsidR="00802D18" w:rsidRPr="002F7592" w:rsidRDefault="00802D18" w:rsidP="00802D18">
      <w:pPr>
        <w:pStyle w:val="Titulek"/>
      </w:pPr>
      <w:bookmarkStart w:id="4" w:name="_Toc75297737"/>
      <w:r w:rsidRPr="002F7592">
        <w:t xml:space="preserve">Box </w:t>
      </w:r>
      <w:r w:rsidR="005857C4">
        <w:fldChar w:fldCharType="begin"/>
      </w:r>
      <w:r w:rsidR="005857C4">
        <w:instrText xml:space="preserve"> SEQ Box \* ARABIC </w:instrText>
      </w:r>
      <w:r w:rsidR="005857C4">
        <w:fldChar w:fldCharType="separate"/>
      </w:r>
      <w:r w:rsidRPr="002F7592">
        <w:rPr>
          <w:noProof/>
        </w:rPr>
        <w:t>1</w:t>
      </w:r>
      <w:r w:rsidR="005857C4">
        <w:rPr>
          <w:noProof/>
        </w:rPr>
        <w:fldChar w:fldCharType="end"/>
      </w:r>
      <w:r w:rsidRPr="002F7592">
        <w:t xml:space="preserve">: </w:t>
      </w:r>
      <w:r w:rsidR="00DF155F">
        <w:t>MŽP, Podprogram A</w:t>
      </w:r>
      <w:r w:rsidR="00DA5A59">
        <w:t xml:space="preserve"> </w:t>
      </w:r>
      <w:proofErr w:type="spellStart"/>
      <w:r w:rsidR="00DA5A59">
        <w:t>a</w:t>
      </w:r>
      <w:proofErr w:type="spellEnd"/>
      <w:r w:rsidR="00DA5A59">
        <w:t xml:space="preserve"> C</w:t>
      </w:r>
      <w:r w:rsidR="00DF155F">
        <w:t xml:space="preserve">: </w:t>
      </w:r>
      <w:r w:rsidRPr="002F7592">
        <w:t>Vybraný příklad české dobré praxe v oblasti podpory NNO</w:t>
      </w:r>
      <w:bookmarkEnd w:id="4"/>
    </w:p>
    <w:p w14:paraId="5230D33A" w14:textId="44D2A589" w:rsidR="00802D18" w:rsidRPr="002F7592" w:rsidRDefault="00240FF6" w:rsidP="00802D18">
      <w:r>
        <w:rPr>
          <w:noProof/>
        </w:rPr>
        <mc:AlternateContent>
          <mc:Choice Requires="wps">
            <w:drawing>
              <wp:inline distT="0" distB="0" distL="0" distR="0" wp14:anchorId="745DB3EC" wp14:editId="778F4C16">
                <wp:extent cx="6135370" cy="7203440"/>
                <wp:effectExtent l="0" t="0" r="17780" b="16510"/>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7203440"/>
                        </a:xfrm>
                        <a:prstGeom prst="rect">
                          <a:avLst/>
                        </a:prstGeom>
                        <a:solidFill>
                          <a:srgbClr val="FFFFFF"/>
                        </a:solidFill>
                        <a:ln w="19050">
                          <a:solidFill>
                            <a:srgbClr val="2F5496"/>
                          </a:solidFill>
                          <a:miter lim="800000"/>
                          <a:headEnd/>
                          <a:tailEnd/>
                        </a:ln>
                      </wps:spPr>
                      <wps:txbx>
                        <w:txbxContent>
                          <w:p w14:paraId="386E0F28" w14:textId="77777777" w:rsidR="00802D18" w:rsidRPr="00276C58" w:rsidRDefault="00802D18" w:rsidP="00802D18">
                            <w:pPr>
                              <w:shd w:val="clear" w:color="auto" w:fill="FFFFFF"/>
                              <w:spacing w:before="0" w:after="60"/>
                              <w:outlineLvl w:val="0"/>
                              <w:rPr>
                                <w:b/>
                                <w:bCs/>
                                <w:i/>
                                <w:iCs/>
                                <w:szCs w:val="22"/>
                              </w:rPr>
                            </w:pPr>
                            <w:bookmarkStart w:id="5" w:name="_Toc75294836"/>
                            <w:r w:rsidRPr="00276C58">
                              <w:rPr>
                                <w:b/>
                                <w:bCs/>
                                <w:i/>
                                <w:iCs/>
                                <w:szCs w:val="22"/>
                              </w:rPr>
                              <w:t xml:space="preserve">MŽP: </w:t>
                            </w:r>
                            <w:r w:rsidRPr="005D62E5">
                              <w:rPr>
                                <w:b/>
                                <w:bCs/>
                                <w:i/>
                                <w:iCs/>
                                <w:szCs w:val="22"/>
                              </w:rPr>
                              <w:t>Program na podporu projektů nevládních a neziskových organizací</w:t>
                            </w:r>
                            <w:r w:rsidRPr="00276C58">
                              <w:rPr>
                                <w:b/>
                                <w:bCs/>
                                <w:i/>
                                <w:iCs/>
                                <w:szCs w:val="22"/>
                              </w:rPr>
                              <w:t xml:space="preserve"> – Podprogram A</w:t>
                            </w:r>
                            <w:bookmarkEnd w:id="5"/>
                          </w:p>
                          <w:p w14:paraId="71484F0A" w14:textId="27CB4B77" w:rsidR="00802D18" w:rsidRPr="00EA56A4" w:rsidRDefault="00802D18" w:rsidP="00802D18">
                            <w:pPr>
                              <w:shd w:val="clear" w:color="auto" w:fill="FFFFFF"/>
                              <w:spacing w:before="0" w:after="60"/>
                              <w:outlineLvl w:val="0"/>
                              <w:rPr>
                                <w:color w:val="000000" w:themeColor="text1"/>
                                <w:sz w:val="20"/>
                                <w:szCs w:val="20"/>
                              </w:rPr>
                            </w:pPr>
                            <w:bookmarkStart w:id="6" w:name="_Toc75294837"/>
                            <w:r w:rsidRPr="00EA56A4">
                              <w:rPr>
                                <w:color w:val="000000" w:themeColor="text1"/>
                                <w:sz w:val="20"/>
                                <w:szCs w:val="20"/>
                              </w:rPr>
                              <w:t xml:space="preserve">MŽP prostřednictvím Podprogramu A podporuje NNO působící v oblasti ochrany životního prostředí a udržitelného rozvoje, a to v předem stanovených konkrétních tématech. Program není primárně určen na podporu kapacit NNO, </w:t>
                            </w:r>
                            <w:r w:rsidR="004E2D24">
                              <w:rPr>
                                <w:color w:val="000000" w:themeColor="text1"/>
                                <w:sz w:val="20"/>
                                <w:szCs w:val="20"/>
                              </w:rPr>
                              <w:t>nicméně v</w:t>
                            </w:r>
                            <w:r w:rsidRPr="00EA56A4">
                              <w:rPr>
                                <w:color w:val="000000" w:themeColor="text1"/>
                                <w:sz w:val="20"/>
                                <w:szCs w:val="20"/>
                              </w:rPr>
                              <w:t> rámci realizovaných projektů je možné využít poskytnuté prostředky na úhradu části režijních nákladů, případně doplňkově (vedle hlavních aktivit projektu a ve vazbě na ně) i na rozvoj kapacit daných NNO. V rámci Podprogramu A jsou realizovány roční projekty. Roční alokace Podprogramu A je 13,5 mil. Kč, maximální výše dotace byla v posledních dvou letech 250 tis. Kč a míra dotace mohla dosahovat až 70 % nákladů projektu. Projektová žádost může směřovat jen do jednoho stanoveného tématu, přičemž jedna organizace může podat až 3 projekty.</w:t>
                            </w:r>
                            <w:bookmarkEnd w:id="6"/>
                          </w:p>
                          <w:p w14:paraId="7E0D26D8" w14:textId="77777777" w:rsidR="00802D18" w:rsidRPr="00EA56A4" w:rsidRDefault="00802D18" w:rsidP="00802D18">
                            <w:pPr>
                              <w:shd w:val="clear" w:color="auto" w:fill="FFFFFF"/>
                              <w:spacing w:before="0" w:after="60"/>
                              <w:outlineLvl w:val="0"/>
                              <w:rPr>
                                <w:b/>
                                <w:bCs/>
                                <w:sz w:val="20"/>
                                <w:szCs w:val="20"/>
                              </w:rPr>
                            </w:pPr>
                            <w:bookmarkStart w:id="7" w:name="_Toc75294838"/>
                            <w:r w:rsidRPr="00EA56A4">
                              <w:rPr>
                                <w:b/>
                                <w:bCs/>
                                <w:sz w:val="20"/>
                                <w:szCs w:val="20"/>
                              </w:rPr>
                              <w:t>V čem je spatřována dobrá praxe Podprogramu A</w:t>
                            </w:r>
                            <w:r>
                              <w:rPr>
                                <w:b/>
                                <w:bCs/>
                                <w:sz w:val="20"/>
                                <w:szCs w:val="20"/>
                              </w:rPr>
                              <w:t xml:space="preserve"> relevantní pro Program ZRS ČR</w:t>
                            </w:r>
                            <w:r w:rsidRPr="00EA56A4">
                              <w:rPr>
                                <w:b/>
                                <w:bCs/>
                                <w:sz w:val="20"/>
                                <w:szCs w:val="20"/>
                              </w:rPr>
                              <w:t>?</w:t>
                            </w:r>
                            <w:bookmarkEnd w:id="7"/>
                          </w:p>
                          <w:p w14:paraId="5998222E"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8" w:name="_Toc75294839"/>
                            <w:r w:rsidRPr="00EA56A4">
                              <w:rPr>
                                <w:sz w:val="20"/>
                                <w:szCs w:val="20"/>
                              </w:rPr>
                              <w:t xml:space="preserve">Pro Podprogram A je připravován </w:t>
                            </w:r>
                            <w:r w:rsidRPr="00EA56A4">
                              <w:rPr>
                                <w:b/>
                                <w:bCs/>
                                <w:sz w:val="20"/>
                                <w:szCs w:val="20"/>
                              </w:rPr>
                              <w:t>strategický rámec</w:t>
                            </w:r>
                            <w:r w:rsidRPr="00EA56A4">
                              <w:rPr>
                                <w:sz w:val="20"/>
                                <w:szCs w:val="20"/>
                              </w:rPr>
                              <w:t xml:space="preserve"> (konkrétně dokument Potřebnost Programu, základní parametry a indikátory Programu), který </w:t>
                            </w:r>
                            <w:r w:rsidRPr="00EA56A4">
                              <w:rPr>
                                <w:color w:val="000000" w:themeColor="text1"/>
                                <w:sz w:val="20"/>
                                <w:szCs w:val="20"/>
                              </w:rPr>
                              <w:t xml:space="preserve">zasazuje Podprogram A do širšího kontextu, odůvodňuje jej, určuje návaznost na související strategie, uznává roli NNO v oblasti ŽP, uvádí </w:t>
                            </w:r>
                            <w:r w:rsidRPr="00EA56A4">
                              <w:rPr>
                                <w:sz w:val="20"/>
                                <w:szCs w:val="20"/>
                              </w:rPr>
                              <w:t xml:space="preserve">indikativní očekávané výstupy programu (indikátory </w:t>
                            </w:r>
                            <w:r>
                              <w:rPr>
                                <w:sz w:val="20"/>
                                <w:szCs w:val="20"/>
                              </w:rPr>
                              <w:t>p</w:t>
                            </w:r>
                            <w:r w:rsidRPr="00EA56A4">
                              <w:rPr>
                                <w:sz w:val="20"/>
                                <w:szCs w:val="20"/>
                              </w:rPr>
                              <w:t>rogramu) atp.</w:t>
                            </w:r>
                            <w:bookmarkEnd w:id="8"/>
                          </w:p>
                          <w:p w14:paraId="3C64265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9" w:name="_Toc75294840"/>
                            <w:r w:rsidRPr="00EA56A4">
                              <w:rPr>
                                <w:sz w:val="20"/>
                                <w:szCs w:val="20"/>
                              </w:rPr>
                              <w:t xml:space="preserve">Je připraveno </w:t>
                            </w:r>
                            <w:r w:rsidRPr="00EA56A4">
                              <w:rPr>
                                <w:b/>
                                <w:bCs/>
                                <w:sz w:val="20"/>
                                <w:szCs w:val="20"/>
                              </w:rPr>
                              <w:t>metodické prostředí</w:t>
                            </w:r>
                            <w:r w:rsidRPr="00EA56A4">
                              <w:rPr>
                                <w:sz w:val="20"/>
                                <w:szCs w:val="20"/>
                              </w:rPr>
                              <w:t xml:space="preserve">, které je určeno jen pro daný </w:t>
                            </w:r>
                            <w:r>
                              <w:rPr>
                                <w:sz w:val="20"/>
                                <w:szCs w:val="20"/>
                              </w:rPr>
                              <w:t>p</w:t>
                            </w:r>
                            <w:r w:rsidRPr="00EA56A4">
                              <w:rPr>
                                <w:sz w:val="20"/>
                                <w:szCs w:val="20"/>
                              </w:rPr>
                              <w:t>rogram, což jej dělá přehlednějším.</w:t>
                            </w:r>
                            <w:bookmarkEnd w:id="9"/>
                          </w:p>
                          <w:p w14:paraId="691F9319"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0" w:name="_Toc75294841"/>
                            <w:r w:rsidRPr="00EA56A4">
                              <w:rPr>
                                <w:sz w:val="20"/>
                                <w:szCs w:val="20"/>
                              </w:rPr>
                              <w:t xml:space="preserve">Podprogram A je vůči žadatelům a příjemcům </w:t>
                            </w:r>
                            <w:r w:rsidRPr="00EA56A4">
                              <w:rPr>
                                <w:b/>
                                <w:bCs/>
                                <w:sz w:val="20"/>
                                <w:szCs w:val="20"/>
                              </w:rPr>
                              <w:t>transparentní</w:t>
                            </w:r>
                            <w:r w:rsidRPr="00EA56A4">
                              <w:rPr>
                                <w:sz w:val="20"/>
                                <w:szCs w:val="20"/>
                              </w:rPr>
                              <w:t xml:space="preserve">, neboť na webových stránkách věnovaných pouze danému </w:t>
                            </w:r>
                            <w:r>
                              <w:rPr>
                                <w:sz w:val="20"/>
                                <w:szCs w:val="20"/>
                              </w:rPr>
                              <w:t>p</w:t>
                            </w:r>
                            <w:r w:rsidRPr="00EA56A4">
                              <w:rPr>
                                <w:sz w:val="20"/>
                                <w:szCs w:val="20"/>
                              </w:rPr>
                              <w:t>rogramu uvádí velké množství informací, a to např. podrobná hodnoticí kritéria, seznam podpořených a nepodpořených subjektů vč. bodového ohodnocení a požadované a přidělené výše dotace, protokoly z otevírání obálek i výsledky hodnocení projektů, výstupy z projektů atp.</w:t>
                            </w:r>
                            <w:bookmarkEnd w:id="10"/>
                          </w:p>
                          <w:p w14:paraId="7B5B087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1" w:name="_Toc75294842"/>
                            <w:r w:rsidRPr="00EA56A4">
                              <w:rPr>
                                <w:sz w:val="20"/>
                                <w:szCs w:val="20"/>
                              </w:rPr>
                              <w:t xml:space="preserve">V rámci hodnoticího a schvalovacího procesu </w:t>
                            </w:r>
                            <w:r w:rsidRPr="00EA56A4">
                              <w:rPr>
                                <w:b/>
                                <w:bCs/>
                                <w:sz w:val="20"/>
                                <w:szCs w:val="20"/>
                              </w:rPr>
                              <w:t xml:space="preserve">nedochází </w:t>
                            </w:r>
                            <w:r w:rsidRPr="00EA56A4">
                              <w:rPr>
                                <w:sz w:val="20"/>
                                <w:szCs w:val="20"/>
                              </w:rPr>
                              <w:t>ze strany poskytovatele dotace</w:t>
                            </w:r>
                            <w:r w:rsidRPr="00EA56A4">
                              <w:rPr>
                                <w:b/>
                                <w:bCs/>
                                <w:sz w:val="20"/>
                                <w:szCs w:val="20"/>
                              </w:rPr>
                              <w:t xml:space="preserve"> ke krácení požadované dotace</w:t>
                            </w:r>
                            <w:r w:rsidRPr="00EA56A4">
                              <w:rPr>
                                <w:sz w:val="20"/>
                                <w:szCs w:val="20"/>
                              </w:rPr>
                              <w:t>, jehož cílem by bylo podpořit více subjektů.</w:t>
                            </w:r>
                            <w:bookmarkEnd w:id="11"/>
                          </w:p>
                          <w:p w14:paraId="6E6083A9"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2" w:name="_Toc75294843"/>
                            <w:r w:rsidRPr="00EA56A4">
                              <w:rPr>
                                <w:sz w:val="20"/>
                                <w:szCs w:val="20"/>
                              </w:rPr>
                              <w:t xml:space="preserve">Transparentnost Podprogramu A se odráží i do </w:t>
                            </w:r>
                            <w:r w:rsidRPr="00EA56A4">
                              <w:rPr>
                                <w:b/>
                                <w:bCs/>
                                <w:sz w:val="20"/>
                                <w:szCs w:val="20"/>
                              </w:rPr>
                              <w:t>jasně a otevřeně stanoveného postupu hodnocení</w:t>
                            </w:r>
                            <w:r w:rsidRPr="00EA56A4">
                              <w:rPr>
                                <w:sz w:val="20"/>
                                <w:szCs w:val="20"/>
                              </w:rPr>
                              <w:t xml:space="preserve"> vč. popisu zapojení hodnotitelů, </w:t>
                            </w:r>
                            <w:r w:rsidRPr="00EA56A4">
                              <w:rPr>
                                <w:b/>
                                <w:bCs/>
                                <w:sz w:val="20"/>
                                <w:szCs w:val="20"/>
                              </w:rPr>
                              <w:t>zveřejnění všech kritérií včetně sub-kritérií</w:t>
                            </w:r>
                            <w:r w:rsidRPr="00EA56A4">
                              <w:rPr>
                                <w:sz w:val="20"/>
                                <w:szCs w:val="20"/>
                              </w:rPr>
                              <w:t xml:space="preserve"> a maximálního možného bodového ohodnocení v rámci každého kritéria i sub-kritéria.</w:t>
                            </w:r>
                            <w:bookmarkEnd w:id="12"/>
                            <w:r w:rsidRPr="00EA56A4">
                              <w:rPr>
                                <w:sz w:val="20"/>
                                <w:szCs w:val="20"/>
                              </w:rPr>
                              <w:t xml:space="preserve"> </w:t>
                            </w:r>
                          </w:p>
                          <w:p w14:paraId="07A7E0B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3" w:name="_Toc75294844"/>
                            <w:r w:rsidRPr="00EA56A4">
                              <w:rPr>
                                <w:b/>
                                <w:bCs/>
                                <w:sz w:val="20"/>
                                <w:szCs w:val="20"/>
                              </w:rPr>
                              <w:t>Výsledky hodnocení jsou žadatelům známy včas</w:t>
                            </w:r>
                            <w:r w:rsidRPr="00EA56A4">
                              <w:rPr>
                                <w:sz w:val="20"/>
                                <w:szCs w:val="20"/>
                              </w:rPr>
                              <w:t>, neboť v rámci Podprogramu A se daří zveřejňovat pořadí žádostí dle bodového ohodnocení na stránkách MŽP již do konce předchozího roku, výjimečně v lednu daného roku.</w:t>
                            </w:r>
                            <w:bookmarkEnd w:id="13"/>
                          </w:p>
                          <w:p w14:paraId="4E64526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4" w:name="_Toc75294845"/>
                            <w:r w:rsidRPr="00EA56A4">
                              <w:rPr>
                                <w:b/>
                                <w:bCs/>
                                <w:sz w:val="20"/>
                                <w:szCs w:val="20"/>
                              </w:rPr>
                              <w:t>Všechny procesy v rámci Podprogramu A jsou elektronizovány</w:t>
                            </w:r>
                            <w:r w:rsidRPr="00EA56A4">
                              <w:rPr>
                                <w:sz w:val="20"/>
                                <w:szCs w:val="20"/>
                              </w:rPr>
                              <w:t xml:space="preserve">, využíván je </w:t>
                            </w:r>
                            <w:r w:rsidRPr="00EA56A4">
                              <w:rPr>
                                <w:b/>
                                <w:bCs/>
                                <w:sz w:val="20"/>
                                <w:szCs w:val="20"/>
                              </w:rPr>
                              <w:t>elektronický systém</w:t>
                            </w:r>
                            <w:r w:rsidRPr="00EA56A4">
                              <w:rPr>
                                <w:sz w:val="20"/>
                                <w:szCs w:val="20"/>
                              </w:rPr>
                              <w:t xml:space="preserve"> GRANTYS MŽP, v rámci kterého je připravována projektová žádost, administrována realizace projektu, řešeny změny projektu, vytvářeny a předkládány reporty o projektu atp. Pouze tam, kde je to nezbytné, je komunikace s žadateli/příjemci vedena prostřednictvím datové schránky, případně jinak. Úplná elektronizace je ze strany MŽP považována za velký přínos spočívající ve zjednodušení administrace i urychlení procesů. V době covidové bylo možné řešit vše vzdáleným přístupem, proto nedocházelo k nežádoucím prodlevám atp. Zároveň je pro práci s elektronickým systémem zpracován podrobný a návodný manuál, který žadatelům a příjemcům usnadňuje orientaci v systému a práci s ním.</w:t>
                            </w:r>
                            <w:bookmarkEnd w:id="14"/>
                          </w:p>
                          <w:p w14:paraId="79B9FA4D" w14:textId="77777777" w:rsidR="00802D18" w:rsidRPr="00EA56A4" w:rsidRDefault="00802D18" w:rsidP="00802D18">
                            <w:pPr>
                              <w:pStyle w:val="Odstavecseseznamem"/>
                              <w:numPr>
                                <w:ilvl w:val="0"/>
                                <w:numId w:val="18"/>
                              </w:numPr>
                              <w:spacing w:before="0" w:after="60"/>
                              <w:contextualSpacing/>
                              <w:rPr>
                                <w:sz w:val="20"/>
                                <w:szCs w:val="20"/>
                              </w:rPr>
                            </w:pPr>
                            <w:r w:rsidRPr="00EA56A4">
                              <w:rPr>
                                <w:sz w:val="20"/>
                                <w:szCs w:val="20"/>
                              </w:rPr>
                              <w:t xml:space="preserve">V rámci Podprogramu A jsou </w:t>
                            </w:r>
                            <w:r w:rsidRPr="00EA56A4">
                              <w:rPr>
                                <w:b/>
                                <w:bCs/>
                                <w:sz w:val="20"/>
                                <w:szCs w:val="20"/>
                              </w:rPr>
                              <w:t>sdíleny výstupy a výsledky vygenerované v rámci jednotlivých projektů</w:t>
                            </w:r>
                            <w:r w:rsidRPr="00EA56A4">
                              <w:rPr>
                                <w:sz w:val="20"/>
                                <w:szCs w:val="20"/>
                              </w:rPr>
                              <w:t>, a to veřejně prostřednictvím online databáze (</w:t>
                            </w:r>
                            <w:hyperlink r:id="rId8" w:history="1">
                              <w:r w:rsidRPr="00EA56A4">
                                <w:rPr>
                                  <w:rStyle w:val="Hypertextovodkaz"/>
                                  <w:sz w:val="20"/>
                                  <w:szCs w:val="20"/>
                                </w:rPr>
                                <w:t>http://www.projektymzp.cz/</w:t>
                              </w:r>
                            </w:hyperlink>
                            <w:r w:rsidRPr="00EA56A4">
                              <w:rPr>
                                <w:sz w:val="20"/>
                                <w:szCs w:val="20"/>
                              </w:rPr>
                              <w:t xml:space="preserve">). Databáze </w:t>
                            </w:r>
                            <w:r>
                              <w:rPr>
                                <w:sz w:val="20"/>
                                <w:szCs w:val="20"/>
                              </w:rPr>
                              <w:t xml:space="preserve">není jen </w:t>
                            </w:r>
                            <w:r w:rsidRPr="00EA56A4">
                              <w:rPr>
                                <w:sz w:val="20"/>
                                <w:szCs w:val="20"/>
                              </w:rPr>
                              <w:t xml:space="preserve">přehledem, který přináší podrobný zdroj informací o projektech NNO, je také zdrojem informací pro monitoring a hodnocení projektů. Přehled může být využíván sdělovacími prostředky k popularizaci a medializaci výsledků projektů, případně může sloužit i jako zdroj informací pro případné dárce. </w:t>
                            </w:r>
                            <w:r w:rsidRPr="00EA56A4">
                              <w:rPr>
                                <w:b/>
                                <w:bCs/>
                                <w:sz w:val="20"/>
                                <w:szCs w:val="20"/>
                              </w:rPr>
                              <w:t xml:space="preserve">Databáze je rovněž využívána při obhajobě existence </w:t>
                            </w:r>
                            <w:r>
                              <w:rPr>
                                <w:b/>
                                <w:bCs/>
                                <w:sz w:val="20"/>
                                <w:szCs w:val="20"/>
                              </w:rPr>
                              <w:t>p</w:t>
                            </w:r>
                            <w:r w:rsidRPr="00EA56A4">
                              <w:rPr>
                                <w:b/>
                                <w:bCs/>
                                <w:sz w:val="20"/>
                                <w:szCs w:val="20"/>
                              </w:rPr>
                              <w:t>rogramu</w:t>
                            </w:r>
                            <w:r w:rsidRPr="00EA56A4">
                              <w:rPr>
                                <w:sz w:val="20"/>
                                <w:szCs w:val="20"/>
                              </w:rPr>
                              <w:t xml:space="preserve"> a prostředků vynaložených na podporu NNO, a to zejména při schvalování státního rozpočtu. Aby bylo možné výstupy z projektů zveřejnit, je součástí rozhodnutí o poskytnutí dotace mj. ustanovení, že NNO souhlasí se zveřejněním svého jména (obchodního jména), adresy, dotačního titulu, výše poskytnuté dotace, anotace projektu a závěrečné zprávy o realizaci projektu.</w:t>
                            </w:r>
                          </w:p>
                          <w:p w14:paraId="6EC467B6" w14:textId="77777777" w:rsidR="00802D18" w:rsidRPr="00EA56A4" w:rsidRDefault="00802D18" w:rsidP="00802D18">
                            <w:pPr>
                              <w:pStyle w:val="Odstavecseseznamem"/>
                              <w:numPr>
                                <w:ilvl w:val="0"/>
                                <w:numId w:val="18"/>
                              </w:numPr>
                              <w:spacing w:before="0" w:after="60"/>
                              <w:contextualSpacing/>
                              <w:rPr>
                                <w:sz w:val="20"/>
                                <w:szCs w:val="20"/>
                              </w:rPr>
                            </w:pPr>
                            <w:r w:rsidRPr="00EA56A4">
                              <w:rPr>
                                <w:b/>
                                <w:bCs/>
                                <w:sz w:val="20"/>
                                <w:szCs w:val="20"/>
                              </w:rPr>
                              <w:t xml:space="preserve">S výstupy z projektů je rovněž pracováno na úrovni celého </w:t>
                            </w:r>
                            <w:r>
                              <w:rPr>
                                <w:b/>
                                <w:bCs/>
                                <w:sz w:val="20"/>
                                <w:szCs w:val="20"/>
                              </w:rPr>
                              <w:t>p</w:t>
                            </w:r>
                            <w:r w:rsidRPr="00EA56A4">
                              <w:rPr>
                                <w:b/>
                                <w:bCs/>
                                <w:sz w:val="20"/>
                                <w:szCs w:val="20"/>
                              </w:rPr>
                              <w:t>rogramu</w:t>
                            </w:r>
                            <w:r w:rsidRPr="00EA56A4">
                              <w:rPr>
                                <w:sz w:val="20"/>
                                <w:szCs w:val="20"/>
                              </w:rPr>
                              <w:t>, kdy od roku 2016 MŽP systematicky zpracovává informace o dosažených výstupech a jejich dopadu (</w:t>
                            </w:r>
                            <w:r w:rsidRPr="005E1045">
                              <w:rPr>
                                <w:sz w:val="20"/>
                                <w:szCs w:val="20"/>
                              </w:rPr>
                              <w:t>MŽP 2019</w:t>
                            </w:r>
                            <w:r w:rsidRPr="00EA56A4">
                              <w:rPr>
                                <w:sz w:val="20"/>
                                <w:szCs w:val="20"/>
                              </w:rPr>
                              <w:t>).</w:t>
                            </w:r>
                          </w:p>
                          <w:p w14:paraId="7FCBA82D" w14:textId="77777777" w:rsidR="00802D18" w:rsidRPr="00EA56A4" w:rsidRDefault="00802D18" w:rsidP="00802D18">
                            <w:pPr>
                              <w:shd w:val="clear" w:color="auto" w:fill="FFFFFF"/>
                              <w:spacing w:before="0" w:after="60"/>
                              <w:outlineLvl w:val="0"/>
                              <w:rPr>
                                <w:i/>
                                <w:iCs/>
                                <w:sz w:val="20"/>
                                <w:szCs w:val="20"/>
                              </w:rPr>
                            </w:pPr>
                            <w:bookmarkStart w:id="15" w:name="_Toc75294846"/>
                            <w:r w:rsidRPr="00EA56A4">
                              <w:rPr>
                                <w:i/>
                                <w:iCs/>
                                <w:sz w:val="20"/>
                                <w:szCs w:val="20"/>
                              </w:rPr>
                              <w:t xml:space="preserve">Více o Podprogramu A viz </w:t>
                            </w:r>
                            <w:hyperlink r:id="rId9" w:history="1">
                              <w:r w:rsidRPr="00EA56A4">
                                <w:rPr>
                                  <w:rStyle w:val="Hypertextovodkaz"/>
                                  <w:i/>
                                  <w:iCs/>
                                  <w:sz w:val="20"/>
                                  <w:szCs w:val="20"/>
                                </w:rPr>
                                <w:t>http://www.mzp.cz/cz/program_podpora_projektu_nno</w:t>
                              </w:r>
                            </w:hyperlink>
                            <w:r w:rsidRPr="00EA56A4">
                              <w:rPr>
                                <w:i/>
                                <w:iCs/>
                                <w:sz w:val="20"/>
                                <w:szCs w:val="20"/>
                              </w:rPr>
                              <w:t>.</w:t>
                            </w:r>
                            <w:bookmarkEnd w:id="15"/>
                            <w:r w:rsidRPr="00EA56A4">
                              <w:rPr>
                                <w:i/>
                                <w:iCs/>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type w14:anchorId="745DB3EC" id="_x0000_t202" coordsize="21600,21600" o:spt="202" path="m,l,21600r21600,l21600,xe">
                <v:stroke joinstyle="miter"/>
                <v:path gradientshapeok="t" o:connecttype="rect"/>
              </v:shapetype>
              <v:shape id="Textové pole 1" o:spid="_x0000_s1026" type="#_x0000_t202" style="width:483.1pt;height:5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" strokecolor="#2f5496" strokeweight="1.5pt">
                <v:textbox>
                  <w:txbxContent>
                    <w:p w14:paraId="386E0F28" w14:textId="77777777" w:rsidR="00802D18" w:rsidRPr="00276C58" w:rsidRDefault="00802D18" w:rsidP="00802D18">
                      <w:pPr>
                        <w:shd w:val="clear" w:color="auto" w:fill="FFFFFF"/>
                        <w:spacing w:before="0" w:after="60"/>
                        <w:outlineLvl w:val="0"/>
                        <w:rPr>
                          <w:b/>
                          <w:bCs/>
                          <w:i/>
                          <w:iCs/>
                          <w:szCs w:val="22"/>
                        </w:rPr>
                      </w:pPr>
                      <w:bookmarkStart w:id="16" w:name="_Toc75294836"/>
                      <w:r w:rsidRPr="00276C58">
                        <w:rPr>
                          <w:b/>
                          <w:bCs/>
                          <w:i/>
                          <w:iCs/>
                          <w:szCs w:val="22"/>
                        </w:rPr>
                        <w:t xml:space="preserve">MŽP: </w:t>
                      </w:r>
                      <w:r w:rsidRPr="005D62E5">
                        <w:rPr>
                          <w:b/>
                          <w:bCs/>
                          <w:i/>
                          <w:iCs/>
                          <w:szCs w:val="22"/>
                        </w:rPr>
                        <w:t>Program na podporu projektů nevládních a neziskových organizací</w:t>
                      </w:r>
                      <w:r w:rsidRPr="00276C58">
                        <w:rPr>
                          <w:b/>
                          <w:bCs/>
                          <w:i/>
                          <w:iCs/>
                          <w:szCs w:val="22"/>
                        </w:rPr>
                        <w:t xml:space="preserve"> – Podprogram A</w:t>
                      </w:r>
                      <w:bookmarkEnd w:id="16"/>
                    </w:p>
                    <w:p w14:paraId="71484F0A" w14:textId="27CB4B77" w:rsidR="00802D18" w:rsidRPr="00EA56A4" w:rsidRDefault="00802D18" w:rsidP="00802D18">
                      <w:pPr>
                        <w:shd w:val="clear" w:color="auto" w:fill="FFFFFF"/>
                        <w:spacing w:before="0" w:after="60"/>
                        <w:outlineLvl w:val="0"/>
                        <w:rPr>
                          <w:color w:val="000000" w:themeColor="text1"/>
                          <w:sz w:val="20"/>
                          <w:szCs w:val="20"/>
                        </w:rPr>
                      </w:pPr>
                      <w:bookmarkStart w:id="17" w:name="_Toc75294837"/>
                      <w:r w:rsidRPr="00EA56A4">
                        <w:rPr>
                          <w:color w:val="000000" w:themeColor="text1"/>
                          <w:sz w:val="20"/>
                          <w:szCs w:val="20"/>
                        </w:rPr>
                        <w:t xml:space="preserve">MŽP prostřednictvím Podprogramu A podporuje NNO působící v oblasti ochrany životního prostředí a udržitelného rozvoje, a to v předem stanovených konkrétních tématech. Program není primárně určen na podporu kapacit NNO, </w:t>
                      </w:r>
                      <w:r w:rsidR="004E2D24">
                        <w:rPr>
                          <w:color w:val="000000" w:themeColor="text1"/>
                          <w:sz w:val="20"/>
                          <w:szCs w:val="20"/>
                        </w:rPr>
                        <w:t>nicméně v</w:t>
                      </w:r>
                      <w:r w:rsidRPr="00EA56A4">
                        <w:rPr>
                          <w:color w:val="000000" w:themeColor="text1"/>
                          <w:sz w:val="20"/>
                          <w:szCs w:val="20"/>
                        </w:rPr>
                        <w:t> rámci realizovaných projektů je možné využít poskytnuté prostředky na úhradu části režijních nákladů, případně doplňkově (vedle hlavních aktivit projektu a ve vazbě na ně) i na rozvoj kapacit daných NNO. V rámci Podprogramu A jsou realizovány roční projekty. Roční alokace Podprogramu A je 13,5 mil. Kč, maximální výše dotace byla v posledních dvou letech 250 tis. Kč a míra dotace mohla dosahovat až 70 % nákladů projektu. Projektová žádost může směřovat jen do jednoho stanoveného tématu, přičemž jedna organizace může podat až 3 projekty.</w:t>
                      </w:r>
                      <w:bookmarkEnd w:id="17"/>
                    </w:p>
                    <w:p w14:paraId="7E0D26D8" w14:textId="77777777" w:rsidR="00802D18" w:rsidRPr="00EA56A4" w:rsidRDefault="00802D18" w:rsidP="00802D18">
                      <w:pPr>
                        <w:shd w:val="clear" w:color="auto" w:fill="FFFFFF"/>
                        <w:spacing w:before="0" w:after="60"/>
                        <w:outlineLvl w:val="0"/>
                        <w:rPr>
                          <w:b/>
                          <w:bCs/>
                          <w:sz w:val="20"/>
                          <w:szCs w:val="20"/>
                        </w:rPr>
                      </w:pPr>
                      <w:bookmarkStart w:id="18" w:name="_Toc75294838"/>
                      <w:r w:rsidRPr="00EA56A4">
                        <w:rPr>
                          <w:b/>
                          <w:bCs/>
                          <w:sz w:val="20"/>
                          <w:szCs w:val="20"/>
                        </w:rPr>
                        <w:t>V čem je spatřována dobrá praxe Podprogramu A</w:t>
                      </w:r>
                      <w:r>
                        <w:rPr>
                          <w:b/>
                          <w:bCs/>
                          <w:sz w:val="20"/>
                          <w:szCs w:val="20"/>
                        </w:rPr>
                        <w:t xml:space="preserve"> relevantní pro Program ZRS ČR</w:t>
                      </w:r>
                      <w:r w:rsidRPr="00EA56A4">
                        <w:rPr>
                          <w:b/>
                          <w:bCs/>
                          <w:sz w:val="20"/>
                          <w:szCs w:val="20"/>
                        </w:rPr>
                        <w:t>?</w:t>
                      </w:r>
                      <w:bookmarkEnd w:id="18"/>
                    </w:p>
                    <w:p w14:paraId="5998222E"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19" w:name="_Toc75294839"/>
                      <w:r w:rsidRPr="00EA56A4">
                        <w:rPr>
                          <w:sz w:val="20"/>
                          <w:szCs w:val="20"/>
                        </w:rPr>
                        <w:t xml:space="preserve">Pro Podprogram A je připravován </w:t>
                      </w:r>
                      <w:r w:rsidRPr="00EA56A4">
                        <w:rPr>
                          <w:b/>
                          <w:bCs/>
                          <w:sz w:val="20"/>
                          <w:szCs w:val="20"/>
                        </w:rPr>
                        <w:t>strategický rámec</w:t>
                      </w:r>
                      <w:r w:rsidRPr="00EA56A4">
                        <w:rPr>
                          <w:sz w:val="20"/>
                          <w:szCs w:val="20"/>
                        </w:rPr>
                        <w:t xml:space="preserve"> (konkrétně dokument Potřebnost Programu, základní parametry a indikátory Programu), který </w:t>
                      </w:r>
                      <w:r w:rsidRPr="00EA56A4">
                        <w:rPr>
                          <w:color w:val="000000" w:themeColor="text1"/>
                          <w:sz w:val="20"/>
                          <w:szCs w:val="20"/>
                        </w:rPr>
                        <w:t xml:space="preserve">zasazuje Podprogram A do širšího kontextu, odůvodňuje jej, určuje návaznost na související strategie, uznává roli NNO v oblasti ŽP, uvádí </w:t>
                      </w:r>
                      <w:r w:rsidRPr="00EA56A4">
                        <w:rPr>
                          <w:sz w:val="20"/>
                          <w:szCs w:val="20"/>
                        </w:rPr>
                        <w:t xml:space="preserve">indikativní očekávané výstupy programu (indikátory </w:t>
                      </w:r>
                      <w:r>
                        <w:rPr>
                          <w:sz w:val="20"/>
                          <w:szCs w:val="20"/>
                        </w:rPr>
                        <w:t>p</w:t>
                      </w:r>
                      <w:r w:rsidRPr="00EA56A4">
                        <w:rPr>
                          <w:sz w:val="20"/>
                          <w:szCs w:val="20"/>
                        </w:rPr>
                        <w:t>rogramu) atp.</w:t>
                      </w:r>
                      <w:bookmarkEnd w:id="19"/>
                    </w:p>
                    <w:p w14:paraId="3C64265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0" w:name="_Toc75294840"/>
                      <w:r w:rsidRPr="00EA56A4">
                        <w:rPr>
                          <w:sz w:val="20"/>
                          <w:szCs w:val="20"/>
                        </w:rPr>
                        <w:t xml:space="preserve">Je připraveno </w:t>
                      </w:r>
                      <w:r w:rsidRPr="00EA56A4">
                        <w:rPr>
                          <w:b/>
                          <w:bCs/>
                          <w:sz w:val="20"/>
                          <w:szCs w:val="20"/>
                        </w:rPr>
                        <w:t>metodické prostředí</w:t>
                      </w:r>
                      <w:r w:rsidRPr="00EA56A4">
                        <w:rPr>
                          <w:sz w:val="20"/>
                          <w:szCs w:val="20"/>
                        </w:rPr>
                        <w:t xml:space="preserve">, které je určeno jen pro daný </w:t>
                      </w:r>
                      <w:r>
                        <w:rPr>
                          <w:sz w:val="20"/>
                          <w:szCs w:val="20"/>
                        </w:rPr>
                        <w:t>p</w:t>
                      </w:r>
                      <w:r w:rsidRPr="00EA56A4">
                        <w:rPr>
                          <w:sz w:val="20"/>
                          <w:szCs w:val="20"/>
                        </w:rPr>
                        <w:t>rogram, což jej dělá přehlednějším.</w:t>
                      </w:r>
                      <w:bookmarkEnd w:id="20"/>
                    </w:p>
                    <w:p w14:paraId="691F9319"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1" w:name="_Toc75294841"/>
                      <w:r w:rsidRPr="00EA56A4">
                        <w:rPr>
                          <w:sz w:val="20"/>
                          <w:szCs w:val="20"/>
                        </w:rPr>
                        <w:t xml:space="preserve">Podprogram A je vůči žadatelům a příjemcům </w:t>
                      </w:r>
                      <w:r w:rsidRPr="00EA56A4">
                        <w:rPr>
                          <w:b/>
                          <w:bCs/>
                          <w:sz w:val="20"/>
                          <w:szCs w:val="20"/>
                        </w:rPr>
                        <w:t>transparentní</w:t>
                      </w:r>
                      <w:r w:rsidRPr="00EA56A4">
                        <w:rPr>
                          <w:sz w:val="20"/>
                          <w:szCs w:val="20"/>
                        </w:rPr>
                        <w:t xml:space="preserve">, neboť na webových stránkách věnovaných pouze danému </w:t>
                      </w:r>
                      <w:r>
                        <w:rPr>
                          <w:sz w:val="20"/>
                          <w:szCs w:val="20"/>
                        </w:rPr>
                        <w:t>p</w:t>
                      </w:r>
                      <w:r w:rsidRPr="00EA56A4">
                        <w:rPr>
                          <w:sz w:val="20"/>
                          <w:szCs w:val="20"/>
                        </w:rPr>
                        <w:t>rogramu uvádí velké množství informací, a to např. podrobná hodnoticí kritéria, seznam podpořených a nepodpořených subjektů vč. bodového ohodnocení a požadované a přidělené výše dotace, protokoly z otevírání obálek i výsledky hodnocení projektů, výstupy z projektů atp.</w:t>
                      </w:r>
                      <w:bookmarkEnd w:id="21"/>
                    </w:p>
                    <w:p w14:paraId="7B5B087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2" w:name="_Toc75294842"/>
                      <w:r w:rsidRPr="00EA56A4">
                        <w:rPr>
                          <w:sz w:val="20"/>
                          <w:szCs w:val="20"/>
                        </w:rPr>
                        <w:t xml:space="preserve">V rámci hodnoticího a schvalovacího procesu </w:t>
                      </w:r>
                      <w:r w:rsidRPr="00EA56A4">
                        <w:rPr>
                          <w:b/>
                          <w:bCs/>
                          <w:sz w:val="20"/>
                          <w:szCs w:val="20"/>
                        </w:rPr>
                        <w:t xml:space="preserve">nedochází </w:t>
                      </w:r>
                      <w:r w:rsidRPr="00EA56A4">
                        <w:rPr>
                          <w:sz w:val="20"/>
                          <w:szCs w:val="20"/>
                        </w:rPr>
                        <w:t>ze strany poskytovatele dotace</w:t>
                      </w:r>
                      <w:r w:rsidRPr="00EA56A4">
                        <w:rPr>
                          <w:b/>
                          <w:bCs/>
                          <w:sz w:val="20"/>
                          <w:szCs w:val="20"/>
                        </w:rPr>
                        <w:t xml:space="preserve"> ke krácení požadované dotace</w:t>
                      </w:r>
                      <w:r w:rsidRPr="00EA56A4">
                        <w:rPr>
                          <w:sz w:val="20"/>
                          <w:szCs w:val="20"/>
                        </w:rPr>
                        <w:t>, jehož cílem by bylo podpořit více subjektů.</w:t>
                      </w:r>
                      <w:bookmarkEnd w:id="22"/>
                    </w:p>
                    <w:p w14:paraId="6E6083A9"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3" w:name="_Toc75294843"/>
                      <w:r w:rsidRPr="00EA56A4">
                        <w:rPr>
                          <w:sz w:val="20"/>
                          <w:szCs w:val="20"/>
                        </w:rPr>
                        <w:t xml:space="preserve">Transparentnost Podprogramu A se odráží i do </w:t>
                      </w:r>
                      <w:r w:rsidRPr="00EA56A4">
                        <w:rPr>
                          <w:b/>
                          <w:bCs/>
                          <w:sz w:val="20"/>
                          <w:szCs w:val="20"/>
                        </w:rPr>
                        <w:t>jasně a otevřeně stanoveného postupu hodnocení</w:t>
                      </w:r>
                      <w:r w:rsidRPr="00EA56A4">
                        <w:rPr>
                          <w:sz w:val="20"/>
                          <w:szCs w:val="20"/>
                        </w:rPr>
                        <w:t xml:space="preserve"> vč. popisu zapojení hodnotitelů, </w:t>
                      </w:r>
                      <w:r w:rsidRPr="00EA56A4">
                        <w:rPr>
                          <w:b/>
                          <w:bCs/>
                          <w:sz w:val="20"/>
                          <w:szCs w:val="20"/>
                        </w:rPr>
                        <w:t>zveřejnění všech kritérií včetně sub-kritérií</w:t>
                      </w:r>
                      <w:r w:rsidRPr="00EA56A4">
                        <w:rPr>
                          <w:sz w:val="20"/>
                          <w:szCs w:val="20"/>
                        </w:rPr>
                        <w:t xml:space="preserve"> a maximálního možného bodového ohodnocení v rámci každého kritéria i sub-kritéria.</w:t>
                      </w:r>
                      <w:bookmarkEnd w:id="23"/>
                      <w:r w:rsidRPr="00EA56A4">
                        <w:rPr>
                          <w:sz w:val="20"/>
                          <w:szCs w:val="20"/>
                        </w:rPr>
                        <w:t xml:space="preserve"> </w:t>
                      </w:r>
                    </w:p>
                    <w:p w14:paraId="07A7E0B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4" w:name="_Toc75294844"/>
                      <w:r w:rsidRPr="00EA56A4">
                        <w:rPr>
                          <w:b/>
                          <w:bCs/>
                          <w:sz w:val="20"/>
                          <w:szCs w:val="20"/>
                        </w:rPr>
                        <w:t>Výsledky hodnocení jsou žadatelům známy včas</w:t>
                      </w:r>
                      <w:r w:rsidRPr="00EA56A4">
                        <w:rPr>
                          <w:sz w:val="20"/>
                          <w:szCs w:val="20"/>
                        </w:rPr>
                        <w:t>, neboť v rámci Podprogramu A se daří zveřejňovat pořadí žádostí dle bodového ohodnocení na stránkách MŽP již do konce předchozího roku, výjimečně v lednu daného roku.</w:t>
                      </w:r>
                      <w:bookmarkEnd w:id="24"/>
                    </w:p>
                    <w:p w14:paraId="4E645266" w14:textId="77777777" w:rsidR="00802D18" w:rsidRPr="00EA56A4" w:rsidRDefault="00802D18" w:rsidP="00802D18">
                      <w:pPr>
                        <w:pStyle w:val="Odstavecseseznamem"/>
                        <w:numPr>
                          <w:ilvl w:val="0"/>
                          <w:numId w:val="17"/>
                        </w:numPr>
                        <w:shd w:val="clear" w:color="auto" w:fill="FFFFFF"/>
                        <w:spacing w:before="0" w:after="60"/>
                        <w:contextualSpacing/>
                        <w:outlineLvl w:val="0"/>
                        <w:rPr>
                          <w:sz w:val="20"/>
                          <w:szCs w:val="20"/>
                        </w:rPr>
                      </w:pPr>
                      <w:bookmarkStart w:id="25" w:name="_Toc75294845"/>
                      <w:r w:rsidRPr="00EA56A4">
                        <w:rPr>
                          <w:b/>
                          <w:bCs/>
                          <w:sz w:val="20"/>
                          <w:szCs w:val="20"/>
                        </w:rPr>
                        <w:t>Všechny procesy v rámci Podprogramu A jsou elektronizovány</w:t>
                      </w:r>
                      <w:r w:rsidRPr="00EA56A4">
                        <w:rPr>
                          <w:sz w:val="20"/>
                          <w:szCs w:val="20"/>
                        </w:rPr>
                        <w:t xml:space="preserve">, využíván je </w:t>
                      </w:r>
                      <w:r w:rsidRPr="00EA56A4">
                        <w:rPr>
                          <w:b/>
                          <w:bCs/>
                          <w:sz w:val="20"/>
                          <w:szCs w:val="20"/>
                        </w:rPr>
                        <w:t>elektronický systém</w:t>
                      </w:r>
                      <w:r w:rsidRPr="00EA56A4">
                        <w:rPr>
                          <w:sz w:val="20"/>
                          <w:szCs w:val="20"/>
                        </w:rPr>
                        <w:t xml:space="preserve"> GRANTYS MŽP, v rámci kterého je připravována projektová žádost, administrována realizace projektu, řešeny změny projektu, vytvářeny a předkládány reporty o projektu atp. Pouze tam, kde je to nezbytné, je komunikace s žadateli/příjemci vedena prostřednictvím datové schránky, případně jinak. Úplná elektronizace je ze strany MŽP považována za velký přínos spočívající ve zjednodušení administrace i urychlení procesů. V době covidové bylo možné řešit vše vzdáleným přístupem, proto nedocházelo k nežádoucím prodlevám atp. Zároveň je pro práci s elektronickým systémem zpracován podrobný a návodný manuál, který žadatelům a příjemcům usnadňuje orientaci v systému a práci s ním.</w:t>
                      </w:r>
                      <w:bookmarkEnd w:id="25"/>
                    </w:p>
                    <w:p w14:paraId="79B9FA4D" w14:textId="77777777" w:rsidR="00802D18" w:rsidRPr="00EA56A4" w:rsidRDefault="00802D18" w:rsidP="00802D18">
                      <w:pPr>
                        <w:pStyle w:val="Odstavecseseznamem"/>
                        <w:numPr>
                          <w:ilvl w:val="0"/>
                          <w:numId w:val="18"/>
                        </w:numPr>
                        <w:spacing w:before="0" w:after="60"/>
                        <w:contextualSpacing/>
                        <w:rPr>
                          <w:sz w:val="20"/>
                          <w:szCs w:val="20"/>
                        </w:rPr>
                      </w:pPr>
                      <w:r w:rsidRPr="00EA56A4">
                        <w:rPr>
                          <w:sz w:val="20"/>
                          <w:szCs w:val="20"/>
                        </w:rPr>
                        <w:t xml:space="preserve">V rámci Podprogramu A jsou </w:t>
                      </w:r>
                      <w:r w:rsidRPr="00EA56A4">
                        <w:rPr>
                          <w:b/>
                          <w:bCs/>
                          <w:sz w:val="20"/>
                          <w:szCs w:val="20"/>
                        </w:rPr>
                        <w:t>sdíleny výstupy a výsledky vygenerované v rámci jednotlivých projektů</w:t>
                      </w:r>
                      <w:r w:rsidRPr="00EA56A4">
                        <w:rPr>
                          <w:sz w:val="20"/>
                          <w:szCs w:val="20"/>
                        </w:rPr>
                        <w:t>, a to veřejně prostřednictvím online databáze (</w:t>
                      </w:r>
                      <w:hyperlink r:id="rId10" w:history="1">
                        <w:r w:rsidRPr="00EA56A4">
                          <w:rPr>
                            <w:rStyle w:val="Hypertextovodkaz"/>
                            <w:sz w:val="20"/>
                            <w:szCs w:val="20"/>
                          </w:rPr>
                          <w:t>http://www.projektymzp.cz/</w:t>
                        </w:r>
                      </w:hyperlink>
                      <w:r w:rsidRPr="00EA56A4">
                        <w:rPr>
                          <w:sz w:val="20"/>
                          <w:szCs w:val="20"/>
                        </w:rPr>
                        <w:t xml:space="preserve">). Databáze </w:t>
                      </w:r>
                      <w:r>
                        <w:rPr>
                          <w:sz w:val="20"/>
                          <w:szCs w:val="20"/>
                        </w:rPr>
                        <w:t xml:space="preserve">není jen </w:t>
                      </w:r>
                      <w:r w:rsidRPr="00EA56A4">
                        <w:rPr>
                          <w:sz w:val="20"/>
                          <w:szCs w:val="20"/>
                        </w:rPr>
                        <w:t xml:space="preserve">přehledem, který přináší podrobný zdroj informací o projektech NNO, je také zdrojem informací pro monitoring a hodnocení projektů. Přehled může být využíván sdělovacími prostředky k popularizaci a medializaci výsledků projektů, případně může sloužit i jako zdroj informací pro případné dárce. </w:t>
                      </w:r>
                      <w:r w:rsidRPr="00EA56A4">
                        <w:rPr>
                          <w:b/>
                          <w:bCs/>
                          <w:sz w:val="20"/>
                          <w:szCs w:val="20"/>
                        </w:rPr>
                        <w:t xml:space="preserve">Databáze je rovněž využívána při obhajobě existence </w:t>
                      </w:r>
                      <w:r>
                        <w:rPr>
                          <w:b/>
                          <w:bCs/>
                          <w:sz w:val="20"/>
                          <w:szCs w:val="20"/>
                        </w:rPr>
                        <w:t>p</w:t>
                      </w:r>
                      <w:r w:rsidRPr="00EA56A4">
                        <w:rPr>
                          <w:b/>
                          <w:bCs/>
                          <w:sz w:val="20"/>
                          <w:szCs w:val="20"/>
                        </w:rPr>
                        <w:t>rogramu</w:t>
                      </w:r>
                      <w:r w:rsidRPr="00EA56A4">
                        <w:rPr>
                          <w:sz w:val="20"/>
                          <w:szCs w:val="20"/>
                        </w:rPr>
                        <w:t xml:space="preserve"> a prostředků vynaložených na podporu NNO, a to zejména při schvalování státního rozpočtu. Aby bylo možné výstupy z projektů zveřejnit, je součástí rozhodnutí o poskytnutí dotace mj. ustanovení, že NNO souhlasí se zveřejněním svého jména (obchodního jména), adresy, dotačního titulu, výše poskytnuté dotace, anotace projektu a závěrečné zprávy o realizaci projektu.</w:t>
                      </w:r>
                    </w:p>
                    <w:p w14:paraId="6EC467B6" w14:textId="77777777" w:rsidR="00802D18" w:rsidRPr="00EA56A4" w:rsidRDefault="00802D18" w:rsidP="00802D18">
                      <w:pPr>
                        <w:pStyle w:val="Odstavecseseznamem"/>
                        <w:numPr>
                          <w:ilvl w:val="0"/>
                          <w:numId w:val="18"/>
                        </w:numPr>
                        <w:spacing w:before="0" w:after="60"/>
                        <w:contextualSpacing/>
                        <w:rPr>
                          <w:sz w:val="20"/>
                          <w:szCs w:val="20"/>
                        </w:rPr>
                      </w:pPr>
                      <w:r w:rsidRPr="00EA56A4">
                        <w:rPr>
                          <w:b/>
                          <w:bCs/>
                          <w:sz w:val="20"/>
                          <w:szCs w:val="20"/>
                        </w:rPr>
                        <w:t xml:space="preserve">S výstupy z projektů je rovněž pracováno na úrovni celého </w:t>
                      </w:r>
                      <w:r>
                        <w:rPr>
                          <w:b/>
                          <w:bCs/>
                          <w:sz w:val="20"/>
                          <w:szCs w:val="20"/>
                        </w:rPr>
                        <w:t>p</w:t>
                      </w:r>
                      <w:r w:rsidRPr="00EA56A4">
                        <w:rPr>
                          <w:b/>
                          <w:bCs/>
                          <w:sz w:val="20"/>
                          <w:szCs w:val="20"/>
                        </w:rPr>
                        <w:t>rogramu</w:t>
                      </w:r>
                      <w:r w:rsidRPr="00EA56A4">
                        <w:rPr>
                          <w:sz w:val="20"/>
                          <w:szCs w:val="20"/>
                        </w:rPr>
                        <w:t>, kdy od roku 2016 MŽP systematicky zpracovává informace o dosažených výstupech a jejich dopadu (</w:t>
                      </w:r>
                      <w:r w:rsidRPr="005E1045">
                        <w:rPr>
                          <w:sz w:val="20"/>
                          <w:szCs w:val="20"/>
                        </w:rPr>
                        <w:t>MŽP 2019</w:t>
                      </w:r>
                      <w:r w:rsidRPr="00EA56A4">
                        <w:rPr>
                          <w:sz w:val="20"/>
                          <w:szCs w:val="20"/>
                        </w:rPr>
                        <w:t>).</w:t>
                      </w:r>
                    </w:p>
                    <w:p w14:paraId="7FCBA82D" w14:textId="77777777" w:rsidR="00802D18" w:rsidRPr="00EA56A4" w:rsidRDefault="00802D18" w:rsidP="00802D18">
                      <w:pPr>
                        <w:shd w:val="clear" w:color="auto" w:fill="FFFFFF"/>
                        <w:spacing w:before="0" w:after="60"/>
                        <w:outlineLvl w:val="0"/>
                        <w:rPr>
                          <w:i/>
                          <w:iCs/>
                          <w:sz w:val="20"/>
                          <w:szCs w:val="20"/>
                        </w:rPr>
                      </w:pPr>
                      <w:bookmarkStart w:id="26" w:name="_Toc75294846"/>
                      <w:r w:rsidRPr="00EA56A4">
                        <w:rPr>
                          <w:i/>
                          <w:iCs/>
                          <w:sz w:val="20"/>
                          <w:szCs w:val="20"/>
                        </w:rPr>
                        <w:t xml:space="preserve">Více o Podprogramu A viz </w:t>
                      </w:r>
                      <w:hyperlink r:id="rId11" w:history="1">
                        <w:r w:rsidRPr="00EA56A4">
                          <w:rPr>
                            <w:rStyle w:val="Hypertextovodkaz"/>
                            <w:i/>
                            <w:iCs/>
                            <w:sz w:val="20"/>
                            <w:szCs w:val="20"/>
                          </w:rPr>
                          <w:t>http://www.mzp.cz/cz/program_podpora_projektu_nno</w:t>
                        </w:r>
                      </w:hyperlink>
                      <w:r w:rsidRPr="00EA56A4">
                        <w:rPr>
                          <w:i/>
                          <w:iCs/>
                          <w:sz w:val="20"/>
                          <w:szCs w:val="20"/>
                        </w:rPr>
                        <w:t>.</w:t>
                      </w:r>
                      <w:bookmarkEnd w:id="26"/>
                      <w:r w:rsidRPr="00EA56A4">
                        <w:rPr>
                          <w:i/>
                          <w:iCs/>
                          <w:sz w:val="20"/>
                          <w:szCs w:val="20"/>
                        </w:rPr>
                        <w:t xml:space="preserve"> </w:t>
                      </w:r>
                    </w:p>
                  </w:txbxContent>
                </v:textbox>
                <w10:anchorlock/>
              </v:shape>
            </w:pict>
          </mc:Fallback>
        </mc:AlternateContent>
      </w:r>
    </w:p>
    <w:p w14:paraId="5E0F84C9" w14:textId="7FDEC412" w:rsidR="00DA5A59" w:rsidRDefault="00DA5A59">
      <w:r>
        <w:rPr>
          <w:noProof/>
        </w:rPr>
        <w:lastRenderedPageBreak/>
        <mc:AlternateContent>
          <mc:Choice Requires="wps">
            <w:drawing>
              <wp:inline distT="0" distB="0" distL="0" distR="0" wp14:anchorId="1465ECDD" wp14:editId="64954826">
                <wp:extent cx="6096000" cy="3589020"/>
                <wp:effectExtent l="0" t="0" r="19050" b="11430"/>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89020"/>
                        </a:xfrm>
                        <a:prstGeom prst="rect">
                          <a:avLst/>
                        </a:prstGeom>
                        <a:solidFill>
                          <a:srgbClr val="FFFFFF"/>
                        </a:solidFill>
                        <a:ln w="19050">
                          <a:solidFill>
                            <a:srgbClr val="2F5496"/>
                          </a:solidFill>
                          <a:miter lim="800000"/>
                          <a:headEnd/>
                          <a:tailEnd/>
                        </a:ln>
                      </wps:spPr>
                      <wps:txbx>
                        <w:txbxContent>
                          <w:p w14:paraId="1DDDF19C" w14:textId="77777777" w:rsidR="00DA5A59" w:rsidRPr="00EA56A4" w:rsidRDefault="00DA5A59" w:rsidP="00DA5A59">
                            <w:pPr>
                              <w:shd w:val="clear" w:color="auto" w:fill="FFFFFF"/>
                              <w:spacing w:before="0" w:after="60"/>
                              <w:outlineLvl w:val="0"/>
                              <w:rPr>
                                <w:b/>
                                <w:bCs/>
                                <w:i/>
                                <w:iCs/>
                                <w:szCs w:val="22"/>
                              </w:rPr>
                            </w:pPr>
                            <w:bookmarkStart w:id="27" w:name="_Toc75294847"/>
                            <w:r w:rsidRPr="00EA56A4">
                              <w:rPr>
                                <w:b/>
                                <w:bCs/>
                                <w:i/>
                                <w:iCs/>
                                <w:szCs w:val="22"/>
                              </w:rPr>
                              <w:t>MŽP: Program na podporu projektů nevládních a neziskových organizací – Podprogram C</w:t>
                            </w:r>
                            <w:bookmarkEnd w:id="27"/>
                          </w:p>
                          <w:p w14:paraId="668ABBE5" w14:textId="77777777" w:rsidR="00DA5A59" w:rsidRPr="00EA56A4" w:rsidRDefault="00DA5A59" w:rsidP="00DA5A59">
                            <w:pPr>
                              <w:shd w:val="clear" w:color="auto" w:fill="FFFFFF"/>
                              <w:spacing w:before="0" w:after="60"/>
                              <w:outlineLvl w:val="0"/>
                              <w:rPr>
                                <w:color w:val="000000" w:themeColor="text1"/>
                                <w:sz w:val="20"/>
                                <w:szCs w:val="20"/>
                              </w:rPr>
                            </w:pPr>
                            <w:bookmarkStart w:id="28" w:name="_Toc75294848"/>
                            <w:r w:rsidRPr="00EA56A4">
                              <w:rPr>
                                <w:color w:val="000000" w:themeColor="text1"/>
                                <w:sz w:val="20"/>
                                <w:szCs w:val="20"/>
                              </w:rPr>
                              <w:t>Vedle výše uvedeného Podprogramu A je v rámci daného programu MŽP realizován i Podprogram C, v rámci kterého jsou podporovány dlouhodobé systémové projekty v oblasti ochrany životního prostředí a udržitelného rozvoje, na což je alokováno 1,5 mil. Kč ročně.</w:t>
                            </w:r>
                            <w:bookmarkEnd w:id="28"/>
                          </w:p>
                          <w:p w14:paraId="7357324E" w14:textId="77777777" w:rsidR="00DA5A59" w:rsidRPr="00EA56A4" w:rsidRDefault="00DA5A59" w:rsidP="00DA5A59">
                            <w:pPr>
                              <w:shd w:val="clear" w:color="auto" w:fill="FFFFFF"/>
                              <w:spacing w:before="0" w:after="60"/>
                              <w:outlineLvl w:val="0"/>
                              <w:rPr>
                                <w:b/>
                                <w:bCs/>
                                <w:color w:val="000000" w:themeColor="text1"/>
                                <w:sz w:val="20"/>
                                <w:szCs w:val="20"/>
                              </w:rPr>
                            </w:pPr>
                            <w:bookmarkStart w:id="29" w:name="_Toc75294849"/>
                            <w:r w:rsidRPr="00EA56A4">
                              <w:rPr>
                                <w:b/>
                                <w:bCs/>
                                <w:color w:val="000000" w:themeColor="text1"/>
                                <w:sz w:val="20"/>
                                <w:szCs w:val="20"/>
                              </w:rPr>
                              <w:t>V čem je spatřována dobrá praxe Podprogramu C</w:t>
                            </w:r>
                            <w:r>
                              <w:rPr>
                                <w:b/>
                                <w:bCs/>
                                <w:color w:val="000000" w:themeColor="text1"/>
                                <w:sz w:val="20"/>
                                <w:szCs w:val="20"/>
                              </w:rPr>
                              <w:t xml:space="preserve"> </w:t>
                            </w:r>
                            <w:r>
                              <w:rPr>
                                <w:b/>
                                <w:bCs/>
                                <w:sz w:val="20"/>
                                <w:szCs w:val="20"/>
                              </w:rPr>
                              <w:t>pro Program ZRS ČR</w:t>
                            </w:r>
                            <w:r w:rsidRPr="00EA56A4">
                              <w:rPr>
                                <w:b/>
                                <w:bCs/>
                                <w:color w:val="000000" w:themeColor="text1"/>
                                <w:sz w:val="20"/>
                                <w:szCs w:val="20"/>
                              </w:rPr>
                              <w:t>?</w:t>
                            </w:r>
                            <w:bookmarkEnd w:id="29"/>
                          </w:p>
                          <w:p w14:paraId="7331CCAC" w14:textId="77777777" w:rsidR="00DA5A59" w:rsidRPr="002F17E0" w:rsidRDefault="00DA5A59" w:rsidP="00DA5A59">
                            <w:pPr>
                              <w:pStyle w:val="Odstavecseseznamem"/>
                              <w:numPr>
                                <w:ilvl w:val="0"/>
                                <w:numId w:val="18"/>
                              </w:numPr>
                              <w:spacing w:before="0" w:after="60"/>
                              <w:contextualSpacing/>
                              <w:rPr>
                                <w:sz w:val="20"/>
                                <w:szCs w:val="20"/>
                              </w:rPr>
                            </w:pPr>
                            <w:r w:rsidRPr="002F17E0">
                              <w:rPr>
                                <w:sz w:val="20"/>
                                <w:szCs w:val="20"/>
                              </w:rPr>
                              <w:t xml:space="preserve">Jelikož Podprogram C je součástí vybraného programu MŽP, v rámci kterého je realizován i Podprogram A, zaměřujeme se zde na parametry, které jsou vnímány jako příklad dobré praxe nad rámec parametrů uvedených pro Podprogram A. </w:t>
                            </w:r>
                          </w:p>
                          <w:p w14:paraId="5885E9E1" w14:textId="77777777" w:rsidR="00DA5A59" w:rsidRPr="00EA56A4" w:rsidRDefault="00DA5A59" w:rsidP="00DA5A59">
                            <w:pPr>
                              <w:pStyle w:val="Odstavecseseznamem"/>
                              <w:numPr>
                                <w:ilvl w:val="0"/>
                                <w:numId w:val="18"/>
                              </w:numPr>
                              <w:spacing w:before="0" w:after="60"/>
                              <w:contextualSpacing/>
                              <w:rPr>
                                <w:color w:val="000000" w:themeColor="text1"/>
                                <w:sz w:val="20"/>
                                <w:szCs w:val="20"/>
                              </w:rPr>
                            </w:pPr>
                            <w:r w:rsidRPr="00EA56A4">
                              <w:rPr>
                                <w:color w:val="000000" w:themeColor="text1"/>
                                <w:sz w:val="20"/>
                                <w:szCs w:val="20"/>
                              </w:rPr>
                              <w:t xml:space="preserve">V rámci Podprogramu C jsou realizovány projekty postavené na </w:t>
                            </w:r>
                            <w:r w:rsidRPr="00EA56A4">
                              <w:rPr>
                                <w:b/>
                                <w:bCs/>
                                <w:color w:val="000000" w:themeColor="text1"/>
                                <w:sz w:val="20"/>
                                <w:szCs w:val="20"/>
                              </w:rPr>
                              <w:t>víceleté spolupráci MŽP s vybraným partnerem</w:t>
                            </w:r>
                            <w:r w:rsidRPr="00EA56A4">
                              <w:rPr>
                                <w:color w:val="000000" w:themeColor="text1"/>
                                <w:sz w:val="20"/>
                                <w:szCs w:val="20"/>
                              </w:rPr>
                              <w:t>. Zpravidla jednou za tři roky je vyhlášena výzva, v rámci které MŽP stanovuje okruh činností, jež požaduje k zajištění od budoucího partnera. V rámci hodnocení je následně vybrán subjekt, který je schopen požadované činnosti po dobu několika (cca 3 let) zajistit</w:t>
                            </w:r>
                            <w:r>
                              <w:rPr>
                                <w:color w:val="000000" w:themeColor="text1"/>
                                <w:sz w:val="20"/>
                                <w:szCs w:val="20"/>
                              </w:rPr>
                              <w:t xml:space="preserve">, konkrétně se jedná o </w:t>
                            </w:r>
                            <w:r w:rsidRPr="001044E2">
                              <w:rPr>
                                <w:color w:val="000000" w:themeColor="text1"/>
                                <w:sz w:val="20"/>
                                <w:szCs w:val="20"/>
                              </w:rPr>
                              <w:t xml:space="preserve">aktivity zaměřené na podporu zavádění standardů kvalitního </w:t>
                            </w:r>
                            <w:bookmarkStart w:id="30" w:name="_Hlk75253797"/>
                            <w:r w:rsidRPr="001044E2">
                              <w:rPr>
                                <w:color w:val="000000" w:themeColor="text1"/>
                                <w:sz w:val="20"/>
                                <w:szCs w:val="20"/>
                              </w:rPr>
                              <w:t xml:space="preserve">environmentálního vzdělávání, výchovy a osvěty </w:t>
                            </w:r>
                            <w:bookmarkEnd w:id="30"/>
                            <w:r w:rsidRPr="001044E2">
                              <w:rPr>
                                <w:color w:val="000000" w:themeColor="text1"/>
                                <w:sz w:val="20"/>
                                <w:szCs w:val="20"/>
                              </w:rPr>
                              <w:t>(</w:t>
                            </w:r>
                            <w:r>
                              <w:rPr>
                                <w:color w:val="000000" w:themeColor="text1"/>
                                <w:sz w:val="20"/>
                                <w:szCs w:val="20"/>
                              </w:rPr>
                              <w:t>dále jen „</w:t>
                            </w:r>
                            <w:r w:rsidRPr="001044E2">
                              <w:rPr>
                                <w:color w:val="000000" w:themeColor="text1"/>
                                <w:sz w:val="20"/>
                                <w:szCs w:val="20"/>
                              </w:rPr>
                              <w:t>EVVO</w:t>
                            </w:r>
                            <w:r>
                              <w:rPr>
                                <w:color w:val="000000" w:themeColor="text1"/>
                                <w:sz w:val="20"/>
                                <w:szCs w:val="20"/>
                              </w:rPr>
                              <w:t>“</w:t>
                            </w:r>
                            <w:r w:rsidRPr="001044E2">
                              <w:rPr>
                                <w:color w:val="000000" w:themeColor="text1"/>
                                <w:sz w:val="20"/>
                                <w:szCs w:val="20"/>
                              </w:rPr>
                              <w:t xml:space="preserve">) a nástrojů vyhodnocování činnosti poskytovatelů EVVO a </w:t>
                            </w:r>
                            <w:bookmarkStart w:id="31" w:name="_Hlk75253844"/>
                            <w:r w:rsidRPr="001044E2">
                              <w:rPr>
                                <w:color w:val="000000" w:themeColor="text1"/>
                                <w:sz w:val="20"/>
                                <w:szCs w:val="20"/>
                              </w:rPr>
                              <w:t xml:space="preserve">environmentálního poradenství </w:t>
                            </w:r>
                            <w:bookmarkEnd w:id="31"/>
                            <w:r w:rsidRPr="001044E2">
                              <w:rPr>
                                <w:color w:val="000000" w:themeColor="text1"/>
                                <w:sz w:val="20"/>
                                <w:szCs w:val="20"/>
                              </w:rPr>
                              <w:t>(</w:t>
                            </w:r>
                            <w:r>
                              <w:rPr>
                                <w:color w:val="000000" w:themeColor="text1"/>
                                <w:sz w:val="20"/>
                                <w:szCs w:val="20"/>
                              </w:rPr>
                              <w:t>dále jen „</w:t>
                            </w:r>
                            <w:r w:rsidRPr="001044E2">
                              <w:rPr>
                                <w:color w:val="000000" w:themeColor="text1"/>
                                <w:sz w:val="20"/>
                                <w:szCs w:val="20"/>
                              </w:rPr>
                              <w:t>EP</w:t>
                            </w:r>
                            <w:r>
                              <w:rPr>
                                <w:color w:val="000000" w:themeColor="text1"/>
                                <w:sz w:val="20"/>
                                <w:szCs w:val="20"/>
                              </w:rPr>
                              <w:t>“</w:t>
                            </w:r>
                            <w:r w:rsidRPr="001044E2">
                              <w:rPr>
                                <w:color w:val="000000" w:themeColor="text1"/>
                                <w:sz w:val="20"/>
                                <w:szCs w:val="20"/>
                              </w:rPr>
                              <w:t>), podporu vzdělávání pracovníků v EVVO a EP, sdílení a šíření dobré praxe mezi nimi a podporu propojování jednotlivých aktérů EVVO (zejména veřejné správy, škol a poskytovatelů EVVO a EP)</w:t>
                            </w:r>
                            <w:r>
                              <w:t xml:space="preserve"> </w:t>
                            </w:r>
                            <w:r w:rsidRPr="005E1045">
                              <w:t>(</w:t>
                            </w:r>
                            <w:r w:rsidRPr="005E1045">
                              <w:rPr>
                                <w:sz w:val="20"/>
                                <w:szCs w:val="20"/>
                              </w:rPr>
                              <w:t>MŽP 2019</w:t>
                            </w:r>
                            <w:r>
                              <w:rPr>
                                <w:sz w:val="20"/>
                                <w:szCs w:val="20"/>
                              </w:rPr>
                              <w:t>)</w:t>
                            </w:r>
                            <w:r>
                              <w:t>.</w:t>
                            </w:r>
                          </w:p>
                          <w:p w14:paraId="246A3F45" w14:textId="77777777" w:rsidR="00DA5A59" w:rsidRPr="00EA56A4" w:rsidRDefault="00DA5A59" w:rsidP="00DA5A59">
                            <w:pPr>
                              <w:pStyle w:val="Odstavecseseznamem"/>
                              <w:numPr>
                                <w:ilvl w:val="0"/>
                                <w:numId w:val="18"/>
                              </w:numPr>
                              <w:spacing w:before="0" w:after="60"/>
                              <w:contextualSpacing/>
                              <w:rPr>
                                <w:color w:val="000000" w:themeColor="text1"/>
                                <w:sz w:val="20"/>
                                <w:szCs w:val="20"/>
                              </w:rPr>
                            </w:pPr>
                            <w:r w:rsidRPr="00EA56A4">
                              <w:rPr>
                                <w:color w:val="000000" w:themeColor="text1"/>
                                <w:sz w:val="20"/>
                                <w:szCs w:val="20"/>
                              </w:rPr>
                              <w:t xml:space="preserve">Spolupráce probíhá na základě </w:t>
                            </w:r>
                            <w:r w:rsidRPr="00EA56A4">
                              <w:rPr>
                                <w:b/>
                                <w:bCs/>
                                <w:color w:val="000000" w:themeColor="text1"/>
                                <w:sz w:val="20"/>
                                <w:szCs w:val="20"/>
                              </w:rPr>
                              <w:t>dlouhodobé smlouvy</w:t>
                            </w:r>
                            <w:r w:rsidRPr="00EA56A4">
                              <w:rPr>
                                <w:color w:val="000000" w:themeColor="text1"/>
                                <w:sz w:val="20"/>
                                <w:szCs w:val="20"/>
                              </w:rPr>
                              <w:t xml:space="preserve"> mezi MŽP a vybraným partnerem a má charakter jakéhosi memoranda. V rámci smlouvy je vyjádřen zájem MŽP s daným subjektem systematicky po dobu cca 3 let spolupracovat v dané oblasti. Každoročně je pak vydáváno rozhodnutí o poskytnutí dotace, a to na základě reportování a informací o stavu projektu.</w:t>
                            </w:r>
                          </w:p>
                          <w:p w14:paraId="1B0A0E70" w14:textId="77777777" w:rsidR="00DA5A59" w:rsidRPr="005E1045" w:rsidRDefault="00DA5A59" w:rsidP="00DA5A59">
                            <w:pPr>
                              <w:shd w:val="clear" w:color="auto" w:fill="FFFFFF"/>
                              <w:spacing w:before="0" w:after="60"/>
                              <w:outlineLvl w:val="0"/>
                              <w:rPr>
                                <w:i/>
                                <w:iCs/>
                                <w:sz w:val="20"/>
                                <w:szCs w:val="20"/>
                              </w:rPr>
                            </w:pPr>
                            <w:bookmarkStart w:id="32" w:name="_Toc75294850"/>
                            <w:r w:rsidRPr="005E1045">
                              <w:rPr>
                                <w:i/>
                                <w:iCs/>
                                <w:sz w:val="20"/>
                                <w:szCs w:val="20"/>
                              </w:rPr>
                              <w:t>Více o Podprogramu C viz MŽP 2019.</w:t>
                            </w:r>
                            <w:bookmarkEnd w:id="32"/>
                            <w:r w:rsidRPr="005E1045">
                              <w:rPr>
                                <w:i/>
                                <w:iCs/>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465ECDD" id="Textové pole 3" o:spid="_x0000_s1027" type="#_x0000_t202" style="width:480pt;height:2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" strokecolor="#2f5496" strokeweight="1.5pt">
                <v:textbox>
                  <w:txbxContent>
                    <w:p w14:paraId="1DDDF19C" w14:textId="77777777" w:rsidR="00DA5A59" w:rsidRPr="00EA56A4" w:rsidRDefault="00DA5A59" w:rsidP="00DA5A59">
                      <w:pPr>
                        <w:shd w:val="clear" w:color="auto" w:fill="FFFFFF"/>
                        <w:spacing w:before="0" w:after="60"/>
                        <w:outlineLvl w:val="0"/>
                        <w:rPr>
                          <w:b/>
                          <w:bCs/>
                          <w:i/>
                          <w:iCs/>
                          <w:szCs w:val="22"/>
                        </w:rPr>
                      </w:pPr>
                      <w:bookmarkStart w:id="33" w:name="_Toc75294847"/>
                      <w:r w:rsidRPr="00EA56A4">
                        <w:rPr>
                          <w:b/>
                          <w:bCs/>
                          <w:i/>
                          <w:iCs/>
                          <w:szCs w:val="22"/>
                        </w:rPr>
                        <w:t>MŽP: Program na podporu projektů nevládních a neziskových organizací – Podprogram C</w:t>
                      </w:r>
                      <w:bookmarkEnd w:id="33"/>
                    </w:p>
                    <w:p w14:paraId="668ABBE5" w14:textId="77777777" w:rsidR="00DA5A59" w:rsidRPr="00EA56A4" w:rsidRDefault="00DA5A59" w:rsidP="00DA5A59">
                      <w:pPr>
                        <w:shd w:val="clear" w:color="auto" w:fill="FFFFFF"/>
                        <w:spacing w:before="0" w:after="60"/>
                        <w:outlineLvl w:val="0"/>
                        <w:rPr>
                          <w:color w:val="000000" w:themeColor="text1"/>
                          <w:sz w:val="20"/>
                          <w:szCs w:val="20"/>
                        </w:rPr>
                      </w:pPr>
                      <w:bookmarkStart w:id="34" w:name="_Toc75294848"/>
                      <w:r w:rsidRPr="00EA56A4">
                        <w:rPr>
                          <w:color w:val="000000" w:themeColor="text1"/>
                          <w:sz w:val="20"/>
                          <w:szCs w:val="20"/>
                        </w:rPr>
                        <w:t>Vedle výše uvedeného Podprogramu A je v rámci daného programu MŽP realizován i Podprogram C, v rámci kterého jsou podporovány dlouhodobé systémové projekty v oblasti ochrany životního prostředí a udržitelného rozvoje, na což je alokováno 1,5 mil. Kč ročně.</w:t>
                      </w:r>
                      <w:bookmarkEnd w:id="34"/>
                    </w:p>
                    <w:p w14:paraId="7357324E" w14:textId="77777777" w:rsidR="00DA5A59" w:rsidRPr="00EA56A4" w:rsidRDefault="00DA5A59" w:rsidP="00DA5A59">
                      <w:pPr>
                        <w:shd w:val="clear" w:color="auto" w:fill="FFFFFF"/>
                        <w:spacing w:before="0" w:after="60"/>
                        <w:outlineLvl w:val="0"/>
                        <w:rPr>
                          <w:b/>
                          <w:bCs/>
                          <w:color w:val="000000" w:themeColor="text1"/>
                          <w:sz w:val="20"/>
                          <w:szCs w:val="20"/>
                        </w:rPr>
                      </w:pPr>
                      <w:bookmarkStart w:id="35" w:name="_Toc75294849"/>
                      <w:r w:rsidRPr="00EA56A4">
                        <w:rPr>
                          <w:b/>
                          <w:bCs/>
                          <w:color w:val="000000" w:themeColor="text1"/>
                          <w:sz w:val="20"/>
                          <w:szCs w:val="20"/>
                        </w:rPr>
                        <w:t>V čem je spatřována dobrá praxe Podprogramu C</w:t>
                      </w:r>
                      <w:r>
                        <w:rPr>
                          <w:b/>
                          <w:bCs/>
                          <w:color w:val="000000" w:themeColor="text1"/>
                          <w:sz w:val="20"/>
                          <w:szCs w:val="20"/>
                        </w:rPr>
                        <w:t xml:space="preserve"> </w:t>
                      </w:r>
                      <w:r>
                        <w:rPr>
                          <w:b/>
                          <w:bCs/>
                          <w:sz w:val="20"/>
                          <w:szCs w:val="20"/>
                        </w:rPr>
                        <w:t>pro Program ZRS ČR</w:t>
                      </w:r>
                      <w:r w:rsidRPr="00EA56A4">
                        <w:rPr>
                          <w:b/>
                          <w:bCs/>
                          <w:color w:val="000000" w:themeColor="text1"/>
                          <w:sz w:val="20"/>
                          <w:szCs w:val="20"/>
                        </w:rPr>
                        <w:t>?</w:t>
                      </w:r>
                      <w:bookmarkEnd w:id="35"/>
                    </w:p>
                    <w:p w14:paraId="7331CCAC" w14:textId="77777777" w:rsidR="00DA5A59" w:rsidRPr="002F17E0" w:rsidRDefault="00DA5A59" w:rsidP="00DA5A59">
                      <w:pPr>
                        <w:pStyle w:val="Odstavecseseznamem"/>
                        <w:numPr>
                          <w:ilvl w:val="0"/>
                          <w:numId w:val="18"/>
                        </w:numPr>
                        <w:spacing w:before="0" w:after="60"/>
                        <w:contextualSpacing/>
                        <w:rPr>
                          <w:sz w:val="20"/>
                          <w:szCs w:val="20"/>
                        </w:rPr>
                      </w:pPr>
                      <w:r w:rsidRPr="002F17E0">
                        <w:rPr>
                          <w:sz w:val="20"/>
                          <w:szCs w:val="20"/>
                        </w:rPr>
                        <w:t xml:space="preserve">Jelikož Podprogram C je součástí vybraného programu MŽP, v rámci kterého je realizován i Podprogram A, zaměřujeme se zde na parametry, které jsou vnímány jako příklad dobré praxe nad rámec parametrů uvedených pro Podprogram A. </w:t>
                      </w:r>
                    </w:p>
                    <w:p w14:paraId="5885E9E1" w14:textId="77777777" w:rsidR="00DA5A59" w:rsidRPr="00EA56A4" w:rsidRDefault="00DA5A59" w:rsidP="00DA5A59">
                      <w:pPr>
                        <w:pStyle w:val="Odstavecseseznamem"/>
                        <w:numPr>
                          <w:ilvl w:val="0"/>
                          <w:numId w:val="18"/>
                        </w:numPr>
                        <w:spacing w:before="0" w:after="60"/>
                        <w:contextualSpacing/>
                        <w:rPr>
                          <w:color w:val="000000" w:themeColor="text1"/>
                          <w:sz w:val="20"/>
                          <w:szCs w:val="20"/>
                        </w:rPr>
                      </w:pPr>
                      <w:r w:rsidRPr="00EA56A4">
                        <w:rPr>
                          <w:color w:val="000000" w:themeColor="text1"/>
                          <w:sz w:val="20"/>
                          <w:szCs w:val="20"/>
                        </w:rPr>
                        <w:t xml:space="preserve">V rámci Podprogramu C jsou realizovány projekty postavené na </w:t>
                      </w:r>
                      <w:r w:rsidRPr="00EA56A4">
                        <w:rPr>
                          <w:b/>
                          <w:bCs/>
                          <w:color w:val="000000" w:themeColor="text1"/>
                          <w:sz w:val="20"/>
                          <w:szCs w:val="20"/>
                        </w:rPr>
                        <w:t>víceleté spolupráci MŽP s vybraným partnerem</w:t>
                      </w:r>
                      <w:r w:rsidRPr="00EA56A4">
                        <w:rPr>
                          <w:color w:val="000000" w:themeColor="text1"/>
                          <w:sz w:val="20"/>
                          <w:szCs w:val="20"/>
                        </w:rPr>
                        <w:t>. Zpravidla jednou za tři roky je vyhlášena výzva, v rámci které MŽP stanovuje okruh činností, jež požaduje k zajištění od budoucího partnera. V rámci hodnocení je následně vybrán subjekt, který je schopen požadované činnosti po dobu několika (cca 3 let) zajistit</w:t>
                      </w:r>
                      <w:r>
                        <w:rPr>
                          <w:color w:val="000000" w:themeColor="text1"/>
                          <w:sz w:val="20"/>
                          <w:szCs w:val="20"/>
                        </w:rPr>
                        <w:t xml:space="preserve">, konkrétně se jedná o </w:t>
                      </w:r>
                      <w:r w:rsidRPr="001044E2">
                        <w:rPr>
                          <w:color w:val="000000" w:themeColor="text1"/>
                          <w:sz w:val="20"/>
                          <w:szCs w:val="20"/>
                        </w:rPr>
                        <w:t xml:space="preserve">aktivity zaměřené na podporu zavádění standardů kvalitního </w:t>
                      </w:r>
                      <w:bookmarkStart w:id="36" w:name="_Hlk75253797"/>
                      <w:r w:rsidRPr="001044E2">
                        <w:rPr>
                          <w:color w:val="000000" w:themeColor="text1"/>
                          <w:sz w:val="20"/>
                          <w:szCs w:val="20"/>
                        </w:rPr>
                        <w:t xml:space="preserve">environmentálního vzdělávání, výchovy a osvěty </w:t>
                      </w:r>
                      <w:bookmarkEnd w:id="36"/>
                      <w:r w:rsidRPr="001044E2">
                        <w:rPr>
                          <w:color w:val="000000" w:themeColor="text1"/>
                          <w:sz w:val="20"/>
                          <w:szCs w:val="20"/>
                        </w:rPr>
                        <w:t>(</w:t>
                      </w:r>
                      <w:r>
                        <w:rPr>
                          <w:color w:val="000000" w:themeColor="text1"/>
                          <w:sz w:val="20"/>
                          <w:szCs w:val="20"/>
                        </w:rPr>
                        <w:t>dále jen „</w:t>
                      </w:r>
                      <w:r w:rsidRPr="001044E2">
                        <w:rPr>
                          <w:color w:val="000000" w:themeColor="text1"/>
                          <w:sz w:val="20"/>
                          <w:szCs w:val="20"/>
                        </w:rPr>
                        <w:t>EVVO</w:t>
                      </w:r>
                      <w:r>
                        <w:rPr>
                          <w:color w:val="000000" w:themeColor="text1"/>
                          <w:sz w:val="20"/>
                          <w:szCs w:val="20"/>
                        </w:rPr>
                        <w:t>“</w:t>
                      </w:r>
                      <w:r w:rsidRPr="001044E2">
                        <w:rPr>
                          <w:color w:val="000000" w:themeColor="text1"/>
                          <w:sz w:val="20"/>
                          <w:szCs w:val="20"/>
                        </w:rPr>
                        <w:t xml:space="preserve">) a nástrojů vyhodnocování činnosti poskytovatelů EVVO a </w:t>
                      </w:r>
                      <w:bookmarkStart w:id="37" w:name="_Hlk75253844"/>
                      <w:r w:rsidRPr="001044E2">
                        <w:rPr>
                          <w:color w:val="000000" w:themeColor="text1"/>
                          <w:sz w:val="20"/>
                          <w:szCs w:val="20"/>
                        </w:rPr>
                        <w:t xml:space="preserve">environmentálního poradenství </w:t>
                      </w:r>
                      <w:bookmarkEnd w:id="37"/>
                      <w:r w:rsidRPr="001044E2">
                        <w:rPr>
                          <w:color w:val="000000" w:themeColor="text1"/>
                          <w:sz w:val="20"/>
                          <w:szCs w:val="20"/>
                        </w:rPr>
                        <w:t>(</w:t>
                      </w:r>
                      <w:r>
                        <w:rPr>
                          <w:color w:val="000000" w:themeColor="text1"/>
                          <w:sz w:val="20"/>
                          <w:szCs w:val="20"/>
                        </w:rPr>
                        <w:t>dále jen „</w:t>
                      </w:r>
                      <w:r w:rsidRPr="001044E2">
                        <w:rPr>
                          <w:color w:val="000000" w:themeColor="text1"/>
                          <w:sz w:val="20"/>
                          <w:szCs w:val="20"/>
                        </w:rPr>
                        <w:t>EP</w:t>
                      </w:r>
                      <w:r>
                        <w:rPr>
                          <w:color w:val="000000" w:themeColor="text1"/>
                          <w:sz w:val="20"/>
                          <w:szCs w:val="20"/>
                        </w:rPr>
                        <w:t>“</w:t>
                      </w:r>
                      <w:r w:rsidRPr="001044E2">
                        <w:rPr>
                          <w:color w:val="000000" w:themeColor="text1"/>
                          <w:sz w:val="20"/>
                          <w:szCs w:val="20"/>
                        </w:rPr>
                        <w:t>), podporu vzdělávání pracovníků v EVVO a EP, sdílení a šíření dobré praxe mezi nimi a podporu propojování jednotlivých aktérů EVVO (zejména veřejné správy, škol a poskytovatelů EVVO a EP)</w:t>
                      </w:r>
                      <w:r>
                        <w:t xml:space="preserve"> </w:t>
                      </w:r>
                      <w:r w:rsidRPr="005E1045">
                        <w:t>(</w:t>
                      </w:r>
                      <w:r w:rsidRPr="005E1045">
                        <w:rPr>
                          <w:sz w:val="20"/>
                          <w:szCs w:val="20"/>
                        </w:rPr>
                        <w:t>MŽP 2019</w:t>
                      </w:r>
                      <w:r>
                        <w:rPr>
                          <w:sz w:val="20"/>
                          <w:szCs w:val="20"/>
                        </w:rPr>
                        <w:t>)</w:t>
                      </w:r>
                      <w:r>
                        <w:t>.</w:t>
                      </w:r>
                    </w:p>
                    <w:p w14:paraId="246A3F45" w14:textId="77777777" w:rsidR="00DA5A59" w:rsidRPr="00EA56A4" w:rsidRDefault="00DA5A59" w:rsidP="00DA5A59">
                      <w:pPr>
                        <w:pStyle w:val="Odstavecseseznamem"/>
                        <w:numPr>
                          <w:ilvl w:val="0"/>
                          <w:numId w:val="18"/>
                        </w:numPr>
                        <w:spacing w:before="0" w:after="60"/>
                        <w:contextualSpacing/>
                        <w:rPr>
                          <w:color w:val="000000" w:themeColor="text1"/>
                          <w:sz w:val="20"/>
                          <w:szCs w:val="20"/>
                        </w:rPr>
                      </w:pPr>
                      <w:r w:rsidRPr="00EA56A4">
                        <w:rPr>
                          <w:color w:val="000000" w:themeColor="text1"/>
                          <w:sz w:val="20"/>
                          <w:szCs w:val="20"/>
                        </w:rPr>
                        <w:t xml:space="preserve">Spolupráce probíhá na základě </w:t>
                      </w:r>
                      <w:r w:rsidRPr="00EA56A4">
                        <w:rPr>
                          <w:b/>
                          <w:bCs/>
                          <w:color w:val="000000" w:themeColor="text1"/>
                          <w:sz w:val="20"/>
                          <w:szCs w:val="20"/>
                        </w:rPr>
                        <w:t>dlouhodobé smlouvy</w:t>
                      </w:r>
                      <w:r w:rsidRPr="00EA56A4">
                        <w:rPr>
                          <w:color w:val="000000" w:themeColor="text1"/>
                          <w:sz w:val="20"/>
                          <w:szCs w:val="20"/>
                        </w:rPr>
                        <w:t xml:space="preserve"> mezi MŽP a vybraným partnerem a má charakter jakéhosi memoranda. V rámci smlouvy je vyjádřen zájem MŽP s daným subjektem systematicky po dobu cca 3 let spolupracovat v dané oblasti. Každoročně je pak vydáváno rozhodnutí o poskytnutí dotace, a to na základě reportování a informací o stavu projektu.</w:t>
                      </w:r>
                    </w:p>
                    <w:p w14:paraId="1B0A0E70" w14:textId="77777777" w:rsidR="00DA5A59" w:rsidRPr="005E1045" w:rsidRDefault="00DA5A59" w:rsidP="00DA5A59">
                      <w:pPr>
                        <w:shd w:val="clear" w:color="auto" w:fill="FFFFFF"/>
                        <w:spacing w:before="0" w:after="60"/>
                        <w:outlineLvl w:val="0"/>
                        <w:rPr>
                          <w:i/>
                          <w:iCs/>
                          <w:sz w:val="20"/>
                          <w:szCs w:val="20"/>
                        </w:rPr>
                      </w:pPr>
                      <w:bookmarkStart w:id="38" w:name="_Toc75294850"/>
                      <w:r w:rsidRPr="005E1045">
                        <w:rPr>
                          <w:i/>
                          <w:iCs/>
                          <w:sz w:val="20"/>
                          <w:szCs w:val="20"/>
                        </w:rPr>
                        <w:t>Více o Podprogramu C viz MŽP 2019.</w:t>
                      </w:r>
                      <w:bookmarkEnd w:id="38"/>
                      <w:r w:rsidRPr="005E1045">
                        <w:rPr>
                          <w:i/>
                          <w:iCs/>
                          <w:sz w:val="20"/>
                          <w:szCs w:val="20"/>
                        </w:rPr>
                        <w:t xml:space="preserve"> </w:t>
                      </w:r>
                    </w:p>
                  </w:txbxContent>
                </v:textbox>
                <w10:anchorlock/>
              </v:shape>
            </w:pict>
          </mc:Fallback>
        </mc:AlternateContent>
      </w:r>
    </w:p>
    <w:p w14:paraId="362427B8" w14:textId="7984286B" w:rsidR="00802D18" w:rsidRPr="00576785" w:rsidRDefault="00802D18" w:rsidP="00576785">
      <w:pPr>
        <w:rPr>
          <w:sz w:val="18"/>
          <w:szCs w:val="18"/>
        </w:rPr>
      </w:pPr>
      <w:r w:rsidRPr="002F7592">
        <w:t xml:space="preserve"> </w:t>
      </w:r>
      <w:r w:rsidR="003E49D8" w:rsidRPr="00CE217B">
        <w:rPr>
          <w:sz w:val="18"/>
          <w:szCs w:val="18"/>
        </w:rPr>
        <w:t>Zdroj: Vlastní zpracování na základě zdrojů uvedených v</w:t>
      </w:r>
      <w:r w:rsidR="003E49D8">
        <w:rPr>
          <w:sz w:val="18"/>
          <w:szCs w:val="18"/>
        </w:rPr>
        <w:t> </w:t>
      </w:r>
      <w:r w:rsidR="003E49D8" w:rsidRPr="00CE217B">
        <w:rPr>
          <w:sz w:val="18"/>
          <w:szCs w:val="18"/>
        </w:rPr>
        <w:t>boxu</w:t>
      </w:r>
      <w:r w:rsidR="003E49D8">
        <w:rPr>
          <w:sz w:val="18"/>
          <w:szCs w:val="18"/>
        </w:rPr>
        <w:t xml:space="preserve"> a rozhovoru se zástupcem implementační struktury programu</w:t>
      </w:r>
      <w:r w:rsidR="003E49D8" w:rsidRPr="00CE217B">
        <w:rPr>
          <w:sz w:val="18"/>
          <w:szCs w:val="18"/>
        </w:rPr>
        <w:t>.</w:t>
      </w:r>
    </w:p>
    <w:p w14:paraId="6E2F6A67" w14:textId="77777777" w:rsidR="00DA7E0D" w:rsidRDefault="00DA7E0D" w:rsidP="00DA7E0D">
      <w:pPr>
        <w:pStyle w:val="zjitn"/>
        <w:numPr>
          <w:ilvl w:val="0"/>
          <w:numId w:val="0"/>
        </w:numPr>
        <w:spacing w:line="259" w:lineRule="auto"/>
        <w:rPr>
          <w:b/>
          <w:bCs/>
        </w:rPr>
      </w:pPr>
    </w:p>
    <w:p w14:paraId="2C11F658" w14:textId="08AF3629" w:rsidR="00DA7E0D" w:rsidRPr="00CE217B" w:rsidRDefault="00802D18" w:rsidP="00DA7E0D">
      <w:pPr>
        <w:pStyle w:val="zjitn"/>
        <w:keepNext/>
        <w:numPr>
          <w:ilvl w:val="0"/>
          <w:numId w:val="0"/>
        </w:numPr>
        <w:spacing w:line="259" w:lineRule="auto"/>
        <w:rPr>
          <w:b/>
          <w:bCs/>
        </w:rPr>
      </w:pPr>
      <w:r>
        <w:rPr>
          <w:b/>
          <w:bCs/>
        </w:rPr>
        <w:lastRenderedPageBreak/>
        <w:t xml:space="preserve">Box 2: </w:t>
      </w:r>
      <w:r w:rsidR="00DA7E0D" w:rsidRPr="00CE217B">
        <w:rPr>
          <w:b/>
          <w:bCs/>
        </w:rPr>
        <w:t>OP Zaměstnanost (MPSV): příklad dobré praxe podpory budování kapacit a profesionalizace NNO</w:t>
      </w:r>
    </w:p>
    <w:p w14:paraId="1AF7C4C5" w14:textId="3263A087" w:rsidR="00DA7E0D" w:rsidRDefault="00240FF6" w:rsidP="00DA7E0D">
      <w:pPr>
        <w:rPr>
          <w:sz w:val="18"/>
          <w:szCs w:val="18"/>
        </w:rPr>
      </w:pPr>
      <w:r>
        <w:rPr>
          <w:noProof/>
        </w:rPr>
        <mc:AlternateContent>
          <mc:Choice Requires="wps">
            <w:drawing>
              <wp:inline distT="0" distB="0" distL="0" distR="0" wp14:anchorId="7FF83788" wp14:editId="121107C4">
                <wp:extent cx="5760720" cy="7626985"/>
                <wp:effectExtent l="17145" t="17780" r="1333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26985"/>
                        </a:xfrm>
                        <a:prstGeom prst="rect">
                          <a:avLst/>
                        </a:prstGeom>
                        <a:solidFill>
                          <a:srgbClr val="FFFFFF"/>
                        </a:solidFill>
                        <a:ln w="19050">
                          <a:solidFill>
                            <a:srgbClr val="2F5496"/>
                          </a:solidFill>
                          <a:miter lim="800000"/>
                          <a:headEnd/>
                          <a:tailEnd/>
                        </a:ln>
                      </wps:spPr>
                      <wps:txbx>
                        <w:txbxContent>
                          <w:p w14:paraId="58D1FB43" w14:textId="3D1AD39F" w:rsidR="00DA7E0D" w:rsidRDefault="00DA7E0D" w:rsidP="00576785">
                            <w:pPr>
                              <w:pStyle w:val="zjitn"/>
                              <w:numPr>
                                <w:ilvl w:val="0"/>
                                <w:numId w:val="0"/>
                              </w:numPr>
                              <w:spacing w:line="259" w:lineRule="auto"/>
                            </w:pPr>
                            <w:r>
                              <w:rPr>
                                <w:b/>
                                <w:bCs/>
                              </w:rPr>
                              <w:t>MPSV v rámci jím řízeného Operačního programu Zaměstnanost pro programové období 2014-2020</w:t>
                            </w:r>
                            <w:r>
                              <w:t xml:space="preserve">, konkrétně v rámci výzvy 031 otevřené v roce 2015, podpořilo rozvoj kapacit a profesionalizaci NNO </w:t>
                            </w:r>
                            <w:r w:rsidRPr="00FD7DB8">
                              <w:t xml:space="preserve">působících v oblasti sociálního začleňování, rovnosti žen a mužů a rovných příležitostí. </w:t>
                            </w:r>
                            <w:r>
                              <w:t xml:space="preserve">Projektové aktivity probíhaly v pěti ministerstvem stanovených oblastech: (1) </w:t>
                            </w:r>
                            <w:r w:rsidRPr="00FD7DB8">
                              <w:t xml:space="preserve">strategie organizace a poslání, </w:t>
                            </w:r>
                            <w:r>
                              <w:t xml:space="preserve">(2) </w:t>
                            </w:r>
                            <w:r w:rsidRPr="00FD7DB8">
                              <w:t xml:space="preserve">financování a fundraising, </w:t>
                            </w:r>
                            <w:r>
                              <w:t xml:space="preserve">(3) </w:t>
                            </w:r>
                            <w:r w:rsidRPr="00FD7DB8">
                              <w:t xml:space="preserve">lidské zdroje, </w:t>
                            </w:r>
                            <w:r>
                              <w:t xml:space="preserve">(4) </w:t>
                            </w:r>
                            <w:r w:rsidRPr="00FD7DB8">
                              <w:t xml:space="preserve">marketing a PR a </w:t>
                            </w:r>
                            <w:r>
                              <w:t xml:space="preserve">(5) </w:t>
                            </w:r>
                            <w:r w:rsidRPr="00FD7DB8">
                              <w:t>kvalita služeb a produktů.</w:t>
                            </w:r>
                            <w:r>
                              <w:t xml:space="preserve"> Aktivity byly proto zaměřeny především na </w:t>
                            </w:r>
                            <w:r>
                              <w:rPr>
                                <w:szCs w:val="22"/>
                              </w:rPr>
                              <w:t xml:space="preserve">posílení kvality řízení podpořených organizací, zlepšení řízení lidských zdrojů, oblast </w:t>
                            </w:r>
                            <w:r w:rsidRPr="00E476E7">
                              <w:rPr>
                                <w:szCs w:val="22"/>
                              </w:rPr>
                              <w:t xml:space="preserve">public relations </w:t>
                            </w:r>
                            <w:r>
                              <w:rPr>
                                <w:szCs w:val="22"/>
                              </w:rPr>
                              <w:t>a marketingu</w:t>
                            </w:r>
                            <w:r w:rsidRPr="00E476E7">
                              <w:rPr>
                                <w:szCs w:val="22"/>
                              </w:rPr>
                              <w:t xml:space="preserve">, </w:t>
                            </w:r>
                            <w:r>
                              <w:rPr>
                                <w:szCs w:val="22"/>
                              </w:rPr>
                              <w:t>posílení finančního zdraví a kvality služeb a produktů.</w:t>
                            </w:r>
                            <w:r>
                              <w:t xml:space="preserve"> Celková alokace na dotační výzvu byla 150 mil. Kč, minimální velikost projektu byla 500 tis. Kč, maximální pak 5 mil. Kč. Podporu získalo 72 organizací a projekty nemusely přímo kofinancovat.</w:t>
                            </w:r>
                          </w:p>
                          <w:p w14:paraId="0AA11AC0" w14:textId="77777777" w:rsidR="00DA7E0D" w:rsidRPr="00310D76" w:rsidRDefault="00DA7E0D" w:rsidP="00310D76">
                            <w:pPr>
                              <w:rPr>
                                <w:b/>
                                <w:bCs/>
                              </w:rPr>
                            </w:pPr>
                            <w:bookmarkStart w:id="39" w:name="_Toc75263089"/>
                            <w:r w:rsidRPr="00310D76">
                              <w:rPr>
                                <w:b/>
                                <w:bCs/>
                              </w:rPr>
                              <w:t>V čem je spatřována dobrá praxe této dotační výzvy relevantní pro Program ZRS ČR?</w:t>
                            </w:r>
                            <w:bookmarkEnd w:id="39"/>
                          </w:p>
                          <w:p w14:paraId="618BF052" w14:textId="77777777" w:rsidR="00DA7E0D" w:rsidRPr="00E471C9" w:rsidRDefault="00DA7E0D" w:rsidP="00B84ED1">
                            <w:pPr>
                              <w:pStyle w:val="zjitn"/>
                              <w:numPr>
                                <w:ilvl w:val="0"/>
                                <w:numId w:val="13"/>
                              </w:numPr>
                              <w:spacing w:line="259" w:lineRule="auto"/>
                            </w:pPr>
                            <w:r>
                              <w:rPr>
                                <w:sz w:val="20"/>
                                <w:szCs w:val="20"/>
                              </w:rPr>
                              <w:t xml:space="preserve">Výzva je vystavěna na jasném </w:t>
                            </w:r>
                            <w:r w:rsidRPr="00EA56A4">
                              <w:rPr>
                                <w:b/>
                                <w:bCs/>
                                <w:sz w:val="20"/>
                                <w:szCs w:val="20"/>
                              </w:rPr>
                              <w:t>strategick</w:t>
                            </w:r>
                            <w:r>
                              <w:rPr>
                                <w:b/>
                                <w:bCs/>
                                <w:sz w:val="20"/>
                                <w:szCs w:val="20"/>
                              </w:rPr>
                              <w:t>ém</w:t>
                            </w:r>
                            <w:r w:rsidRPr="00EA56A4">
                              <w:rPr>
                                <w:b/>
                                <w:bCs/>
                                <w:sz w:val="20"/>
                                <w:szCs w:val="20"/>
                              </w:rPr>
                              <w:t xml:space="preserve"> rámc</w:t>
                            </w:r>
                            <w:r>
                              <w:rPr>
                                <w:b/>
                                <w:bCs/>
                                <w:sz w:val="20"/>
                                <w:szCs w:val="20"/>
                              </w:rPr>
                              <w:t>i</w:t>
                            </w:r>
                            <w:r w:rsidRPr="00EA56A4">
                              <w:rPr>
                                <w:sz w:val="20"/>
                                <w:szCs w:val="20"/>
                              </w:rPr>
                              <w:t xml:space="preserve"> (</w:t>
                            </w:r>
                            <w:r>
                              <w:rPr>
                                <w:sz w:val="20"/>
                                <w:szCs w:val="20"/>
                              </w:rPr>
                              <w:t xml:space="preserve">viz </w:t>
                            </w:r>
                            <w:hyperlink r:id="rId12" w:history="1">
                              <w:r w:rsidRPr="004C3DC9">
                                <w:rPr>
                                  <w:rStyle w:val="Hypertextovodkaz"/>
                                  <w:sz w:val="20"/>
                                  <w:szCs w:val="20"/>
                                </w:rPr>
                                <w:t>https://www.esfcr.cz/vyzva-031-opz</w:t>
                              </w:r>
                            </w:hyperlink>
                            <w:r w:rsidRPr="00EA56A4">
                              <w:rPr>
                                <w:sz w:val="20"/>
                                <w:szCs w:val="20"/>
                              </w:rPr>
                              <w:t xml:space="preserve">), </w:t>
                            </w:r>
                            <w:r>
                              <w:rPr>
                                <w:sz w:val="20"/>
                                <w:szCs w:val="20"/>
                              </w:rPr>
                              <w:t xml:space="preserve">vč. indikátorů, je pro něj stanoveno jasné a transparentní metodické prostředí, </w:t>
                            </w:r>
                            <w:r w:rsidRPr="00EA56A4">
                              <w:rPr>
                                <w:sz w:val="20"/>
                                <w:szCs w:val="20"/>
                              </w:rPr>
                              <w:t xml:space="preserve">na webových stránkách věnovaných </w:t>
                            </w:r>
                            <w:r>
                              <w:rPr>
                                <w:sz w:val="20"/>
                                <w:szCs w:val="20"/>
                              </w:rPr>
                              <w:t xml:space="preserve">výzvě je </w:t>
                            </w:r>
                            <w:r w:rsidRPr="00EA56A4">
                              <w:rPr>
                                <w:sz w:val="20"/>
                                <w:szCs w:val="20"/>
                              </w:rPr>
                              <w:t>uv</w:t>
                            </w:r>
                            <w:r>
                              <w:rPr>
                                <w:sz w:val="20"/>
                                <w:szCs w:val="20"/>
                              </w:rPr>
                              <w:t>edeno</w:t>
                            </w:r>
                            <w:r w:rsidRPr="00EA56A4">
                              <w:rPr>
                                <w:sz w:val="20"/>
                                <w:szCs w:val="20"/>
                              </w:rPr>
                              <w:t xml:space="preserve"> velké množství informací</w:t>
                            </w:r>
                            <w:r>
                              <w:rPr>
                                <w:sz w:val="20"/>
                                <w:szCs w:val="20"/>
                              </w:rPr>
                              <w:t xml:space="preserve"> (</w:t>
                            </w:r>
                            <w:r w:rsidRPr="00EA56A4">
                              <w:rPr>
                                <w:sz w:val="20"/>
                                <w:szCs w:val="20"/>
                              </w:rPr>
                              <w:t>např. podrobná hodnoticí kritéria, seznam podpořených a nepodpořených subjektů</w:t>
                            </w:r>
                            <w:r>
                              <w:rPr>
                                <w:sz w:val="20"/>
                                <w:szCs w:val="20"/>
                              </w:rPr>
                              <w:t>, zápisy hodnoticí komise aj.).</w:t>
                            </w:r>
                          </w:p>
                          <w:p w14:paraId="508F58F3" w14:textId="77777777" w:rsidR="00DA7E0D" w:rsidRPr="00614092" w:rsidRDefault="00DA7E0D" w:rsidP="00B84ED1">
                            <w:pPr>
                              <w:pStyle w:val="zjitn"/>
                              <w:numPr>
                                <w:ilvl w:val="0"/>
                                <w:numId w:val="13"/>
                              </w:numPr>
                              <w:spacing w:line="259" w:lineRule="auto"/>
                            </w:pPr>
                            <w:r>
                              <w:rPr>
                                <w:sz w:val="20"/>
                                <w:szCs w:val="20"/>
                              </w:rPr>
                              <w:t xml:space="preserve">Výzva umožňovala aplikaci pravidla </w:t>
                            </w:r>
                            <w:r w:rsidRPr="002751FA">
                              <w:rPr>
                                <w:b/>
                                <w:bCs/>
                                <w:sz w:val="20"/>
                                <w:szCs w:val="20"/>
                              </w:rPr>
                              <w:t>25 % rozpočtu projektu na nepřímé náklady</w:t>
                            </w:r>
                            <w:r>
                              <w:rPr>
                                <w:sz w:val="20"/>
                                <w:szCs w:val="20"/>
                              </w:rPr>
                              <w:t xml:space="preserve"> (v případě nákupu služeb přesahující 60 % byl tento poměr krácen podle pravidel uvedených ve výzvě), což mj. umožnilo snížení administrativní zátěže na obou stranách.</w:t>
                            </w:r>
                          </w:p>
                          <w:p w14:paraId="26542FFB" w14:textId="48236611" w:rsidR="00DA7E0D" w:rsidRPr="0077006E" w:rsidRDefault="00DA7E0D" w:rsidP="00B84ED1">
                            <w:pPr>
                              <w:pStyle w:val="zjitn"/>
                              <w:numPr>
                                <w:ilvl w:val="0"/>
                                <w:numId w:val="13"/>
                              </w:numPr>
                              <w:spacing w:line="259" w:lineRule="auto"/>
                            </w:pPr>
                            <w:r w:rsidRPr="00E6637E">
                              <w:rPr>
                                <w:sz w:val="20"/>
                                <w:szCs w:val="20"/>
                              </w:rPr>
                              <w:t xml:space="preserve">Výzva transparentně uvádí, jaký je postup při hodnocení a výběru projektů (2 nezávislí individuální hodnotitelé, v případně výrazně odlišného hodnocení arbitr) vč. pravidel </w:t>
                            </w:r>
                            <w:r w:rsidR="00DF155F">
                              <w:rPr>
                                <w:sz w:val="20"/>
                                <w:szCs w:val="20"/>
                              </w:rPr>
                              <w:t xml:space="preserve">stanovujících, </w:t>
                            </w:r>
                            <w:r w:rsidRPr="00E6637E">
                              <w:rPr>
                                <w:b/>
                                <w:bCs/>
                                <w:sz w:val="20"/>
                                <w:szCs w:val="20"/>
                              </w:rPr>
                              <w:t>podle čeho je posuzována přiměřenost výše osobních nákladů</w:t>
                            </w:r>
                            <w:r w:rsidRPr="00E6637E">
                              <w:rPr>
                                <w:sz w:val="20"/>
                                <w:szCs w:val="20"/>
                              </w:rPr>
                              <w:t xml:space="preserve"> pro pozice obvyklé v projektech (tj. podle obvyklé výše v daném místě, čase a oboru dle dat v Informačním systému o průměrném výdělku) – viz </w:t>
                            </w:r>
                            <w:hyperlink r:id="rId13" w:history="1">
                              <w:r w:rsidRPr="004C3DC9">
                                <w:rPr>
                                  <w:rStyle w:val="Hypertextovodkaz"/>
                                  <w:sz w:val="20"/>
                                  <w:szCs w:val="20"/>
                                </w:rPr>
                                <w:t>https://www.esfcr.cz/file/9003/</w:t>
                              </w:r>
                            </w:hyperlink>
                            <w:r w:rsidRPr="004C3DC9">
                              <w:rPr>
                                <w:sz w:val="20"/>
                                <w:szCs w:val="20"/>
                              </w:rPr>
                              <w:t>.</w:t>
                            </w:r>
                            <w:r w:rsidRPr="00E6637E">
                              <w:rPr>
                                <w:sz w:val="20"/>
                                <w:szCs w:val="20"/>
                              </w:rPr>
                              <w:t xml:space="preserve">  </w:t>
                            </w:r>
                          </w:p>
                          <w:p w14:paraId="06C17186" w14:textId="77777777" w:rsidR="00DA7E0D" w:rsidRPr="00AF4F84" w:rsidRDefault="00DA7E0D" w:rsidP="00B84ED1">
                            <w:pPr>
                              <w:pStyle w:val="zjitn"/>
                              <w:numPr>
                                <w:ilvl w:val="0"/>
                                <w:numId w:val="13"/>
                              </w:numPr>
                              <w:spacing w:line="259" w:lineRule="auto"/>
                            </w:pPr>
                            <w:r w:rsidRPr="0077006E">
                              <w:rPr>
                                <w:b/>
                                <w:bCs/>
                                <w:sz w:val="20"/>
                                <w:szCs w:val="20"/>
                              </w:rPr>
                              <w:t>Veškeré administrativní úkony</w:t>
                            </w:r>
                            <w:r w:rsidRPr="0077006E">
                              <w:rPr>
                                <w:sz w:val="20"/>
                                <w:szCs w:val="20"/>
                              </w:rPr>
                              <w:t xml:space="preserve"> spojené s podáním žádosti a realizací projektu vůči poskytovateli dotace jsou řešeny výhradně </w:t>
                            </w:r>
                            <w:r w:rsidRPr="0077006E">
                              <w:rPr>
                                <w:b/>
                                <w:bCs/>
                                <w:sz w:val="20"/>
                                <w:szCs w:val="20"/>
                              </w:rPr>
                              <w:t>elektronicky</w:t>
                            </w:r>
                            <w:r w:rsidRPr="0077006E">
                              <w:rPr>
                                <w:sz w:val="20"/>
                                <w:szCs w:val="20"/>
                              </w:rPr>
                              <w:t>.</w:t>
                            </w:r>
                          </w:p>
                          <w:p w14:paraId="462CE424" w14:textId="77777777" w:rsidR="00DA7E0D" w:rsidRPr="0077006E" w:rsidRDefault="00DA7E0D" w:rsidP="00B84ED1">
                            <w:pPr>
                              <w:pStyle w:val="zjitn"/>
                              <w:numPr>
                                <w:ilvl w:val="0"/>
                                <w:numId w:val="13"/>
                              </w:numPr>
                              <w:spacing w:line="259" w:lineRule="auto"/>
                            </w:pPr>
                            <w:r>
                              <w:rPr>
                                <w:sz w:val="20"/>
                                <w:szCs w:val="20"/>
                              </w:rPr>
                              <w:t xml:space="preserve">Projekty jsou </w:t>
                            </w:r>
                            <w:r w:rsidRPr="00AF4F84">
                              <w:rPr>
                                <w:b/>
                                <w:bCs/>
                                <w:sz w:val="20"/>
                                <w:szCs w:val="20"/>
                              </w:rPr>
                              <w:t>dvouleté</w:t>
                            </w:r>
                            <w:r>
                              <w:rPr>
                                <w:sz w:val="20"/>
                                <w:szCs w:val="20"/>
                              </w:rPr>
                              <w:t>, aby mohlo být dosaženo hmatatelné systémové změny.</w:t>
                            </w:r>
                          </w:p>
                          <w:p w14:paraId="43391757" w14:textId="77777777" w:rsidR="00DA7E0D" w:rsidRDefault="00DA7E0D" w:rsidP="00B84ED1">
                            <w:pPr>
                              <w:pStyle w:val="zjitn"/>
                              <w:numPr>
                                <w:ilvl w:val="0"/>
                                <w:numId w:val="13"/>
                              </w:numPr>
                              <w:spacing w:line="259" w:lineRule="auto"/>
                            </w:pPr>
                            <w:r>
                              <w:rPr>
                                <w:sz w:val="20"/>
                                <w:szCs w:val="20"/>
                              </w:rPr>
                              <w:t xml:space="preserve">Podmínkou výzvy bylo </w:t>
                            </w:r>
                            <w:hyperlink r:id="rId14" w:history="1">
                              <w:r w:rsidRPr="00E6637E">
                                <w:rPr>
                                  <w:rStyle w:val="Hypertextovodkaz"/>
                                  <w:sz w:val="20"/>
                                  <w:szCs w:val="20"/>
                                </w:rPr>
                                <w:t xml:space="preserve">předložení </w:t>
                              </w:r>
                              <w:r w:rsidRPr="00E6637E">
                                <w:rPr>
                                  <w:rStyle w:val="Hypertextovodkaz"/>
                                  <w:b/>
                                  <w:bCs/>
                                  <w:sz w:val="20"/>
                                  <w:szCs w:val="20"/>
                                </w:rPr>
                                <w:t>procesního auditu/analýzy organizace</w:t>
                              </w:r>
                            </w:hyperlink>
                            <w:r w:rsidRPr="0071646D">
                              <w:rPr>
                                <w:b/>
                                <w:bCs/>
                                <w:sz w:val="20"/>
                                <w:szCs w:val="20"/>
                              </w:rPr>
                              <w:t xml:space="preserve"> od autorizovaného auditora vážícího se na podporované oblasti. Organizace mohla žádat o podporu na </w:t>
                            </w:r>
                            <w:r>
                              <w:rPr>
                                <w:sz w:val="20"/>
                                <w:szCs w:val="20"/>
                              </w:rPr>
                              <w:t xml:space="preserve">aktivity, které byly v rámci auditu identifikovány jako nedostatečně rozvinuté, a aktivity, které audit doporučil. Procesní audity </w:t>
                            </w:r>
                            <w:r w:rsidRPr="000910A4">
                              <w:rPr>
                                <w:b/>
                                <w:bCs/>
                                <w:sz w:val="20"/>
                                <w:szCs w:val="20"/>
                              </w:rPr>
                              <w:t>dokládaly potřebnost projektu a legitimizovaly intervenci</w:t>
                            </w:r>
                            <w:r>
                              <w:rPr>
                                <w:sz w:val="20"/>
                                <w:szCs w:val="20"/>
                              </w:rPr>
                              <w:t>.</w:t>
                            </w:r>
                          </w:p>
                          <w:p w14:paraId="00412B6B" w14:textId="77777777" w:rsidR="00DA7E0D" w:rsidRPr="009C4471" w:rsidRDefault="00DA7E0D" w:rsidP="00B84ED1">
                            <w:pPr>
                              <w:pStyle w:val="zjitn"/>
                              <w:numPr>
                                <w:ilvl w:val="0"/>
                                <w:numId w:val="13"/>
                              </w:numPr>
                              <w:spacing w:line="259" w:lineRule="auto"/>
                            </w:pPr>
                            <w:r w:rsidRPr="00C94F19">
                              <w:rPr>
                                <w:sz w:val="20"/>
                                <w:szCs w:val="20"/>
                              </w:rPr>
                              <w:t xml:space="preserve">Již ve výzvě byl </w:t>
                            </w:r>
                            <w:r w:rsidRPr="00C94F19">
                              <w:rPr>
                                <w:b/>
                                <w:bCs/>
                                <w:sz w:val="20"/>
                                <w:szCs w:val="20"/>
                              </w:rPr>
                              <w:t>nastaven podrobný</w:t>
                            </w:r>
                            <w:r w:rsidRPr="00C94F19">
                              <w:rPr>
                                <w:sz w:val="20"/>
                                <w:szCs w:val="20"/>
                              </w:rPr>
                              <w:t xml:space="preserve"> </w:t>
                            </w:r>
                            <w:r w:rsidRPr="00C94F19">
                              <w:rPr>
                                <w:b/>
                                <w:bCs/>
                                <w:sz w:val="20"/>
                                <w:szCs w:val="20"/>
                              </w:rPr>
                              <w:t>způsob</w:t>
                            </w:r>
                            <w:r w:rsidRPr="00C94F19">
                              <w:rPr>
                                <w:sz w:val="20"/>
                                <w:szCs w:val="20"/>
                              </w:rPr>
                              <w:t xml:space="preserve">, jakým měl být po skončení projektů </w:t>
                            </w:r>
                            <w:r w:rsidRPr="00C94F19">
                              <w:rPr>
                                <w:b/>
                                <w:bCs/>
                                <w:sz w:val="20"/>
                                <w:szCs w:val="20"/>
                              </w:rPr>
                              <w:t>vyhodnocen dosažený pokrok</w:t>
                            </w:r>
                            <w:r w:rsidRPr="00C94F19">
                              <w:rPr>
                                <w:sz w:val="20"/>
                                <w:szCs w:val="20"/>
                              </w:rPr>
                              <w:t xml:space="preserve"> v podpořených organizacích.</w:t>
                            </w:r>
                            <w:r>
                              <w:rPr>
                                <w:sz w:val="20"/>
                                <w:szCs w:val="20"/>
                              </w:rPr>
                              <w:t xml:space="preserve"> Součástí projektů a celé </w:t>
                            </w:r>
                            <w:hyperlink r:id="rId15" w:history="1">
                              <w:r w:rsidRPr="00C91C19">
                                <w:rPr>
                                  <w:rStyle w:val="Hypertextovodkaz"/>
                                  <w:sz w:val="20"/>
                                  <w:szCs w:val="20"/>
                                </w:rPr>
                                <w:t xml:space="preserve">výzvy byla </w:t>
                              </w:r>
                              <w:r>
                                <w:rPr>
                                  <w:rStyle w:val="Hypertextovodkaz"/>
                                  <w:sz w:val="20"/>
                                  <w:szCs w:val="20"/>
                                </w:rPr>
                                <w:t xml:space="preserve">od počátku </w:t>
                              </w:r>
                              <w:r w:rsidRPr="00C91C19">
                                <w:rPr>
                                  <w:rStyle w:val="Hypertextovodkaz"/>
                                  <w:sz w:val="20"/>
                                  <w:szCs w:val="20"/>
                                </w:rPr>
                                <w:t>evaluace –</w:t>
                              </w:r>
                            </w:hyperlink>
                            <w:r>
                              <w:rPr>
                                <w:sz w:val="20"/>
                                <w:szCs w:val="20"/>
                              </w:rPr>
                              <w:t xml:space="preserve"> zhodnocení výchozího stavu jednotlivých organizací, před zahájením realizace projektů, a vyhodnocení dosažených změn, na konci realizace projektů. Jako nejvíce nosné se ukázalo zhodnocení efektů pro organizace pomocí dotazníku před zahájením intervence a po skončení intervence doplněné fokusními skupinami s příjemci. Evaluační zprávy od příjemců se neosvědčily.</w:t>
                            </w:r>
                            <w:r w:rsidRPr="000910A4">
                              <w:rPr>
                                <w:b/>
                                <w:bCs/>
                                <w:sz w:val="20"/>
                                <w:szCs w:val="20"/>
                              </w:rPr>
                              <w:t xml:space="preserve"> Kritickými místy </w:t>
                            </w:r>
                            <w:r w:rsidRPr="000910A4">
                              <w:rPr>
                                <w:sz w:val="20"/>
                                <w:szCs w:val="20"/>
                              </w:rPr>
                              <w:t>se</w:t>
                            </w:r>
                            <w:r>
                              <w:rPr>
                                <w:sz w:val="20"/>
                                <w:szCs w:val="20"/>
                              </w:rPr>
                              <w:t xml:space="preserve"> ukázaly být adekvátní kapacita na straně příjemců i poskytovatele dotace.</w:t>
                            </w:r>
                          </w:p>
                          <w:p w14:paraId="5F2B4DEF" w14:textId="77777777" w:rsidR="00DA7E0D" w:rsidRDefault="00DA7E0D" w:rsidP="00B84ED1">
                            <w:pPr>
                              <w:pStyle w:val="zjitn"/>
                              <w:numPr>
                                <w:ilvl w:val="0"/>
                                <w:numId w:val="13"/>
                              </w:numPr>
                              <w:spacing w:line="259" w:lineRule="auto"/>
                            </w:pPr>
                            <w:r w:rsidRPr="006A7A2A">
                              <w:rPr>
                                <w:sz w:val="20"/>
                                <w:szCs w:val="20"/>
                              </w:rPr>
                              <w:t xml:space="preserve">Díky adekvátnímu časovému nastavení sběru dat za jednotlivé projekty mohla být celá výzva řádně vyhodnocena. Podle evaluace (Lipková a kol 2019) této výzvy došlo ke statisticky významnému posunu v implementaci a využívání různých nástrojů pro zvýšení kapacity nevládních neziskových organizací, tedy de facto vytvoření podmínek, aby byly v průběhu dalšího využívání těchto nástrojů naplněny cíle výzvy. </w:t>
                            </w:r>
                          </w:p>
                          <w:p w14:paraId="1B59AE28" w14:textId="77777777" w:rsidR="00DA7E0D" w:rsidRPr="00EA56A4" w:rsidRDefault="00DA7E0D" w:rsidP="00DA7E0D">
                            <w:pPr>
                              <w:shd w:val="clear" w:color="auto" w:fill="FFFFFF"/>
                              <w:spacing w:after="60"/>
                              <w:outlineLvl w:val="0"/>
                              <w:rPr>
                                <w:i/>
                                <w:iCs/>
                                <w:sz w:val="20"/>
                                <w:szCs w:val="20"/>
                              </w:rPr>
                            </w:pPr>
                          </w:p>
                        </w:txbxContent>
                      </wps:txbx>
                      <wps:bodyPr rot="0" vert="horz" wrap="square" lIns="91440" tIns="45720" rIns="91440" bIns="45720" anchor="t" anchorCtr="0" upright="1">
                        <a:noAutofit/>
                      </wps:bodyPr>
                    </wps:wsp>
                  </a:graphicData>
                </a:graphic>
              </wp:inline>
            </w:drawing>
          </mc:Choice>
          <mc:Fallback>
            <w:pict>
              <v:shape w14:anchorId="7FF83788" id="Text Box 2" o:spid="_x0000_s1028" type="#_x0000_t202" style="width:453.6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" strokecolor="#2f5496" strokeweight="1.5pt">
                <v:textbox>
                  <w:txbxContent>
                    <w:p w14:paraId="58D1FB43" w14:textId="3D1AD39F" w:rsidR="00DA7E0D" w:rsidRDefault="00DA7E0D" w:rsidP="00576785">
                      <w:pPr>
                        <w:pStyle w:val="zjitn"/>
                        <w:numPr>
                          <w:ilvl w:val="0"/>
                          <w:numId w:val="0"/>
                        </w:numPr>
                        <w:spacing w:line="259" w:lineRule="auto"/>
                      </w:pPr>
                      <w:r>
                        <w:rPr>
                          <w:b/>
                          <w:bCs/>
                        </w:rPr>
                        <w:t>MPSV v rámci jím řízeného Operačního programu Zaměstnanost pro programové období 2014-2020</w:t>
                      </w:r>
                      <w:r>
                        <w:t xml:space="preserve">, konkrétně v rámci výzvy 031 otevřené v roce 2015, podpořilo rozvoj kapacit a profesionalizaci NNO </w:t>
                      </w:r>
                      <w:r w:rsidRPr="00FD7DB8">
                        <w:t xml:space="preserve">působících v oblasti sociálního začleňování, rovnosti žen a mužů a rovných příležitostí. </w:t>
                      </w:r>
                      <w:r>
                        <w:t xml:space="preserve">Projektové aktivity probíhaly v pěti ministerstvem stanovených oblastech: (1) </w:t>
                      </w:r>
                      <w:r w:rsidRPr="00FD7DB8">
                        <w:t xml:space="preserve">strategie organizace a poslání, </w:t>
                      </w:r>
                      <w:r>
                        <w:t xml:space="preserve">(2) </w:t>
                      </w:r>
                      <w:r w:rsidRPr="00FD7DB8">
                        <w:t xml:space="preserve">financování a fundraising, </w:t>
                      </w:r>
                      <w:r>
                        <w:t xml:space="preserve">(3) </w:t>
                      </w:r>
                      <w:r w:rsidRPr="00FD7DB8">
                        <w:t xml:space="preserve">lidské zdroje, </w:t>
                      </w:r>
                      <w:r>
                        <w:t xml:space="preserve">(4) </w:t>
                      </w:r>
                      <w:r w:rsidRPr="00FD7DB8">
                        <w:t xml:space="preserve">marketing a PR a </w:t>
                      </w:r>
                      <w:r>
                        <w:t xml:space="preserve">(5) </w:t>
                      </w:r>
                      <w:r w:rsidRPr="00FD7DB8">
                        <w:t>kvalita služeb a produktů.</w:t>
                      </w:r>
                      <w:r>
                        <w:t xml:space="preserve"> Aktivity byly proto zaměřeny především na </w:t>
                      </w:r>
                      <w:r>
                        <w:rPr>
                          <w:szCs w:val="22"/>
                        </w:rPr>
                        <w:t xml:space="preserve">posílení kvality řízení podpořených organizací, zlepšení řízení lidských zdrojů, oblast </w:t>
                      </w:r>
                      <w:r w:rsidRPr="00E476E7">
                        <w:rPr>
                          <w:szCs w:val="22"/>
                        </w:rPr>
                        <w:t xml:space="preserve">public relations </w:t>
                      </w:r>
                      <w:r>
                        <w:rPr>
                          <w:szCs w:val="22"/>
                        </w:rPr>
                        <w:t>a marketingu</w:t>
                      </w:r>
                      <w:r w:rsidRPr="00E476E7">
                        <w:rPr>
                          <w:szCs w:val="22"/>
                        </w:rPr>
                        <w:t xml:space="preserve">, </w:t>
                      </w:r>
                      <w:r>
                        <w:rPr>
                          <w:szCs w:val="22"/>
                        </w:rPr>
                        <w:t>posílení finančního zdraví a kvality služeb a produktů.</w:t>
                      </w:r>
                      <w:r>
                        <w:t xml:space="preserve"> Celková alokace na dotační výzvu byla 150 mil. Kč, minimální velikost projektu byla 500 tis. Kč, maximální pak 5 mil. Kč. Podporu získalo 72 organizací a projekty nemusely přímo kofinancovat.</w:t>
                      </w:r>
                    </w:p>
                    <w:p w14:paraId="0AA11AC0" w14:textId="77777777" w:rsidR="00DA7E0D" w:rsidRPr="00310D76" w:rsidRDefault="00DA7E0D" w:rsidP="00310D76">
                      <w:pPr>
                        <w:rPr>
                          <w:b/>
                          <w:bCs/>
                        </w:rPr>
                      </w:pPr>
                      <w:bookmarkStart w:id="40" w:name="_Toc75263089"/>
                      <w:r w:rsidRPr="00310D76">
                        <w:rPr>
                          <w:b/>
                          <w:bCs/>
                        </w:rPr>
                        <w:t>V čem je spatřována dobrá praxe této dotační výzvy relevantní pro Program ZRS ČR?</w:t>
                      </w:r>
                      <w:bookmarkEnd w:id="40"/>
                    </w:p>
                    <w:p w14:paraId="618BF052" w14:textId="77777777" w:rsidR="00DA7E0D" w:rsidRPr="00E471C9" w:rsidRDefault="00DA7E0D" w:rsidP="00B84ED1">
                      <w:pPr>
                        <w:pStyle w:val="zjitn"/>
                        <w:numPr>
                          <w:ilvl w:val="0"/>
                          <w:numId w:val="13"/>
                        </w:numPr>
                        <w:spacing w:line="259" w:lineRule="auto"/>
                      </w:pPr>
                      <w:r>
                        <w:rPr>
                          <w:sz w:val="20"/>
                          <w:szCs w:val="20"/>
                        </w:rPr>
                        <w:t xml:space="preserve">Výzva je vystavěna na jasném </w:t>
                      </w:r>
                      <w:r w:rsidRPr="00EA56A4">
                        <w:rPr>
                          <w:b/>
                          <w:bCs/>
                          <w:sz w:val="20"/>
                          <w:szCs w:val="20"/>
                        </w:rPr>
                        <w:t>strategick</w:t>
                      </w:r>
                      <w:r>
                        <w:rPr>
                          <w:b/>
                          <w:bCs/>
                          <w:sz w:val="20"/>
                          <w:szCs w:val="20"/>
                        </w:rPr>
                        <w:t>ém</w:t>
                      </w:r>
                      <w:r w:rsidRPr="00EA56A4">
                        <w:rPr>
                          <w:b/>
                          <w:bCs/>
                          <w:sz w:val="20"/>
                          <w:szCs w:val="20"/>
                        </w:rPr>
                        <w:t xml:space="preserve"> rámc</w:t>
                      </w:r>
                      <w:r>
                        <w:rPr>
                          <w:b/>
                          <w:bCs/>
                          <w:sz w:val="20"/>
                          <w:szCs w:val="20"/>
                        </w:rPr>
                        <w:t>i</w:t>
                      </w:r>
                      <w:r w:rsidRPr="00EA56A4">
                        <w:rPr>
                          <w:sz w:val="20"/>
                          <w:szCs w:val="20"/>
                        </w:rPr>
                        <w:t xml:space="preserve"> (</w:t>
                      </w:r>
                      <w:r>
                        <w:rPr>
                          <w:sz w:val="20"/>
                          <w:szCs w:val="20"/>
                        </w:rPr>
                        <w:t xml:space="preserve">viz </w:t>
                      </w:r>
                      <w:hyperlink r:id="rId16" w:history="1">
                        <w:r w:rsidRPr="004C3DC9">
                          <w:rPr>
                            <w:rStyle w:val="Hypertextovodkaz"/>
                            <w:sz w:val="20"/>
                            <w:szCs w:val="20"/>
                          </w:rPr>
                          <w:t>https://www.esfcr.cz/vyzva-031-opz</w:t>
                        </w:r>
                      </w:hyperlink>
                      <w:r w:rsidRPr="00EA56A4">
                        <w:rPr>
                          <w:sz w:val="20"/>
                          <w:szCs w:val="20"/>
                        </w:rPr>
                        <w:t xml:space="preserve">), </w:t>
                      </w:r>
                      <w:r>
                        <w:rPr>
                          <w:sz w:val="20"/>
                          <w:szCs w:val="20"/>
                        </w:rPr>
                        <w:t xml:space="preserve">vč. indikátorů, je pro něj stanoveno jasné a transparentní metodické prostředí, </w:t>
                      </w:r>
                      <w:r w:rsidRPr="00EA56A4">
                        <w:rPr>
                          <w:sz w:val="20"/>
                          <w:szCs w:val="20"/>
                        </w:rPr>
                        <w:t xml:space="preserve">na webových stránkách věnovaných </w:t>
                      </w:r>
                      <w:r>
                        <w:rPr>
                          <w:sz w:val="20"/>
                          <w:szCs w:val="20"/>
                        </w:rPr>
                        <w:t xml:space="preserve">výzvě je </w:t>
                      </w:r>
                      <w:r w:rsidRPr="00EA56A4">
                        <w:rPr>
                          <w:sz w:val="20"/>
                          <w:szCs w:val="20"/>
                        </w:rPr>
                        <w:t>uv</w:t>
                      </w:r>
                      <w:r>
                        <w:rPr>
                          <w:sz w:val="20"/>
                          <w:szCs w:val="20"/>
                        </w:rPr>
                        <w:t>edeno</w:t>
                      </w:r>
                      <w:r w:rsidRPr="00EA56A4">
                        <w:rPr>
                          <w:sz w:val="20"/>
                          <w:szCs w:val="20"/>
                        </w:rPr>
                        <w:t xml:space="preserve"> velké množství informací</w:t>
                      </w:r>
                      <w:r>
                        <w:rPr>
                          <w:sz w:val="20"/>
                          <w:szCs w:val="20"/>
                        </w:rPr>
                        <w:t xml:space="preserve"> (</w:t>
                      </w:r>
                      <w:r w:rsidRPr="00EA56A4">
                        <w:rPr>
                          <w:sz w:val="20"/>
                          <w:szCs w:val="20"/>
                        </w:rPr>
                        <w:t>např. podrobná hodnoticí kritéria, seznam podpořených a nepodpořených subjektů</w:t>
                      </w:r>
                      <w:r>
                        <w:rPr>
                          <w:sz w:val="20"/>
                          <w:szCs w:val="20"/>
                        </w:rPr>
                        <w:t>, zápisy hodnoticí komise aj.).</w:t>
                      </w:r>
                    </w:p>
                    <w:p w14:paraId="508F58F3" w14:textId="77777777" w:rsidR="00DA7E0D" w:rsidRPr="00614092" w:rsidRDefault="00DA7E0D" w:rsidP="00B84ED1">
                      <w:pPr>
                        <w:pStyle w:val="zjitn"/>
                        <w:numPr>
                          <w:ilvl w:val="0"/>
                          <w:numId w:val="13"/>
                        </w:numPr>
                        <w:spacing w:line="259" w:lineRule="auto"/>
                      </w:pPr>
                      <w:r>
                        <w:rPr>
                          <w:sz w:val="20"/>
                          <w:szCs w:val="20"/>
                        </w:rPr>
                        <w:t xml:space="preserve">Výzva umožňovala aplikaci pravidla </w:t>
                      </w:r>
                      <w:r w:rsidRPr="002751FA">
                        <w:rPr>
                          <w:b/>
                          <w:bCs/>
                          <w:sz w:val="20"/>
                          <w:szCs w:val="20"/>
                        </w:rPr>
                        <w:t>25 % rozpočtu projektu na nepřímé náklady</w:t>
                      </w:r>
                      <w:r>
                        <w:rPr>
                          <w:sz w:val="20"/>
                          <w:szCs w:val="20"/>
                        </w:rPr>
                        <w:t xml:space="preserve"> (v případě nákupu služeb přesahující 60 % byl tento poměr krácen podle pravidel uvedených ve výzvě), což mj. umožnilo snížení administrativní zátěže na obou stranách.</w:t>
                      </w:r>
                    </w:p>
                    <w:p w14:paraId="26542FFB" w14:textId="48236611" w:rsidR="00DA7E0D" w:rsidRPr="0077006E" w:rsidRDefault="00DA7E0D" w:rsidP="00B84ED1">
                      <w:pPr>
                        <w:pStyle w:val="zjitn"/>
                        <w:numPr>
                          <w:ilvl w:val="0"/>
                          <w:numId w:val="13"/>
                        </w:numPr>
                        <w:spacing w:line="259" w:lineRule="auto"/>
                      </w:pPr>
                      <w:r w:rsidRPr="00E6637E">
                        <w:rPr>
                          <w:sz w:val="20"/>
                          <w:szCs w:val="20"/>
                        </w:rPr>
                        <w:t xml:space="preserve">Výzva transparentně uvádí, jaký je postup při hodnocení a výběru projektů (2 nezávislí individuální hodnotitelé, v případně výrazně odlišného hodnocení arbitr) vč. pravidel </w:t>
                      </w:r>
                      <w:r w:rsidR="00DF155F">
                        <w:rPr>
                          <w:sz w:val="20"/>
                          <w:szCs w:val="20"/>
                        </w:rPr>
                        <w:t xml:space="preserve">stanovujících, </w:t>
                      </w:r>
                      <w:r w:rsidRPr="00E6637E">
                        <w:rPr>
                          <w:b/>
                          <w:bCs/>
                          <w:sz w:val="20"/>
                          <w:szCs w:val="20"/>
                        </w:rPr>
                        <w:t>podle čeho je posuzována přiměřenost výše osobních nákladů</w:t>
                      </w:r>
                      <w:r w:rsidRPr="00E6637E">
                        <w:rPr>
                          <w:sz w:val="20"/>
                          <w:szCs w:val="20"/>
                        </w:rPr>
                        <w:t xml:space="preserve"> pro pozice obvyklé v projektech (tj. podle obvyklé výše v daném místě, čase a oboru dle dat v Informačním systému o průměrném výdělku) – viz </w:t>
                      </w:r>
                      <w:hyperlink r:id="rId17" w:history="1">
                        <w:r w:rsidRPr="004C3DC9">
                          <w:rPr>
                            <w:rStyle w:val="Hypertextovodkaz"/>
                            <w:sz w:val="20"/>
                            <w:szCs w:val="20"/>
                          </w:rPr>
                          <w:t>https://www.esfcr.cz/file/9003/</w:t>
                        </w:r>
                      </w:hyperlink>
                      <w:r w:rsidRPr="004C3DC9">
                        <w:rPr>
                          <w:sz w:val="20"/>
                          <w:szCs w:val="20"/>
                        </w:rPr>
                        <w:t>.</w:t>
                      </w:r>
                      <w:r w:rsidRPr="00E6637E">
                        <w:rPr>
                          <w:sz w:val="20"/>
                          <w:szCs w:val="20"/>
                        </w:rPr>
                        <w:t xml:space="preserve">  </w:t>
                      </w:r>
                    </w:p>
                    <w:p w14:paraId="06C17186" w14:textId="77777777" w:rsidR="00DA7E0D" w:rsidRPr="00AF4F84" w:rsidRDefault="00DA7E0D" w:rsidP="00B84ED1">
                      <w:pPr>
                        <w:pStyle w:val="zjitn"/>
                        <w:numPr>
                          <w:ilvl w:val="0"/>
                          <w:numId w:val="13"/>
                        </w:numPr>
                        <w:spacing w:line="259" w:lineRule="auto"/>
                      </w:pPr>
                      <w:r w:rsidRPr="0077006E">
                        <w:rPr>
                          <w:b/>
                          <w:bCs/>
                          <w:sz w:val="20"/>
                          <w:szCs w:val="20"/>
                        </w:rPr>
                        <w:t>Veškeré administrativní úkony</w:t>
                      </w:r>
                      <w:r w:rsidRPr="0077006E">
                        <w:rPr>
                          <w:sz w:val="20"/>
                          <w:szCs w:val="20"/>
                        </w:rPr>
                        <w:t xml:space="preserve"> spojené s podáním žádosti a realizací projektu vůči poskytovateli dotace jsou řešeny výhradně </w:t>
                      </w:r>
                      <w:r w:rsidRPr="0077006E">
                        <w:rPr>
                          <w:b/>
                          <w:bCs/>
                          <w:sz w:val="20"/>
                          <w:szCs w:val="20"/>
                        </w:rPr>
                        <w:t>elektronicky</w:t>
                      </w:r>
                      <w:r w:rsidRPr="0077006E">
                        <w:rPr>
                          <w:sz w:val="20"/>
                          <w:szCs w:val="20"/>
                        </w:rPr>
                        <w:t>.</w:t>
                      </w:r>
                    </w:p>
                    <w:p w14:paraId="462CE424" w14:textId="77777777" w:rsidR="00DA7E0D" w:rsidRPr="0077006E" w:rsidRDefault="00DA7E0D" w:rsidP="00B84ED1">
                      <w:pPr>
                        <w:pStyle w:val="zjitn"/>
                        <w:numPr>
                          <w:ilvl w:val="0"/>
                          <w:numId w:val="13"/>
                        </w:numPr>
                        <w:spacing w:line="259" w:lineRule="auto"/>
                      </w:pPr>
                      <w:r>
                        <w:rPr>
                          <w:sz w:val="20"/>
                          <w:szCs w:val="20"/>
                        </w:rPr>
                        <w:t xml:space="preserve">Projekty jsou </w:t>
                      </w:r>
                      <w:r w:rsidRPr="00AF4F84">
                        <w:rPr>
                          <w:b/>
                          <w:bCs/>
                          <w:sz w:val="20"/>
                          <w:szCs w:val="20"/>
                        </w:rPr>
                        <w:t>dvouleté</w:t>
                      </w:r>
                      <w:r>
                        <w:rPr>
                          <w:sz w:val="20"/>
                          <w:szCs w:val="20"/>
                        </w:rPr>
                        <w:t>, aby mohlo být dosaženo hmatatelné systémové změny.</w:t>
                      </w:r>
                    </w:p>
                    <w:p w14:paraId="43391757" w14:textId="77777777" w:rsidR="00DA7E0D" w:rsidRDefault="00DA7E0D" w:rsidP="00B84ED1">
                      <w:pPr>
                        <w:pStyle w:val="zjitn"/>
                        <w:numPr>
                          <w:ilvl w:val="0"/>
                          <w:numId w:val="13"/>
                        </w:numPr>
                        <w:spacing w:line="259" w:lineRule="auto"/>
                      </w:pPr>
                      <w:r>
                        <w:rPr>
                          <w:sz w:val="20"/>
                          <w:szCs w:val="20"/>
                        </w:rPr>
                        <w:t xml:space="preserve">Podmínkou výzvy bylo </w:t>
                      </w:r>
                      <w:hyperlink r:id="rId18" w:history="1">
                        <w:r w:rsidRPr="00E6637E">
                          <w:rPr>
                            <w:rStyle w:val="Hypertextovodkaz"/>
                            <w:sz w:val="20"/>
                            <w:szCs w:val="20"/>
                          </w:rPr>
                          <w:t xml:space="preserve">předložení </w:t>
                        </w:r>
                        <w:r w:rsidRPr="00E6637E">
                          <w:rPr>
                            <w:rStyle w:val="Hypertextovodkaz"/>
                            <w:b/>
                            <w:bCs/>
                            <w:sz w:val="20"/>
                            <w:szCs w:val="20"/>
                          </w:rPr>
                          <w:t>procesního auditu/analýzy organizace</w:t>
                        </w:r>
                      </w:hyperlink>
                      <w:r w:rsidRPr="0071646D">
                        <w:rPr>
                          <w:b/>
                          <w:bCs/>
                          <w:sz w:val="20"/>
                          <w:szCs w:val="20"/>
                        </w:rPr>
                        <w:t xml:space="preserve"> od autorizovaného auditora vážícího se na podporované oblasti. Organizace mohla žádat o podporu na </w:t>
                      </w:r>
                      <w:r>
                        <w:rPr>
                          <w:sz w:val="20"/>
                          <w:szCs w:val="20"/>
                        </w:rPr>
                        <w:t xml:space="preserve">aktivity, které byly v rámci auditu identifikovány jako nedostatečně rozvinuté, a aktivity, které audit doporučil. Procesní audity </w:t>
                      </w:r>
                      <w:r w:rsidRPr="000910A4">
                        <w:rPr>
                          <w:b/>
                          <w:bCs/>
                          <w:sz w:val="20"/>
                          <w:szCs w:val="20"/>
                        </w:rPr>
                        <w:t>dokládaly potřebnost projektu a legitimizovaly intervenci</w:t>
                      </w:r>
                      <w:r>
                        <w:rPr>
                          <w:sz w:val="20"/>
                          <w:szCs w:val="20"/>
                        </w:rPr>
                        <w:t>.</w:t>
                      </w:r>
                    </w:p>
                    <w:p w14:paraId="00412B6B" w14:textId="77777777" w:rsidR="00DA7E0D" w:rsidRPr="009C4471" w:rsidRDefault="00DA7E0D" w:rsidP="00B84ED1">
                      <w:pPr>
                        <w:pStyle w:val="zjitn"/>
                        <w:numPr>
                          <w:ilvl w:val="0"/>
                          <w:numId w:val="13"/>
                        </w:numPr>
                        <w:spacing w:line="259" w:lineRule="auto"/>
                      </w:pPr>
                      <w:r w:rsidRPr="00C94F19">
                        <w:rPr>
                          <w:sz w:val="20"/>
                          <w:szCs w:val="20"/>
                        </w:rPr>
                        <w:t xml:space="preserve">Již ve výzvě byl </w:t>
                      </w:r>
                      <w:r w:rsidRPr="00C94F19">
                        <w:rPr>
                          <w:b/>
                          <w:bCs/>
                          <w:sz w:val="20"/>
                          <w:szCs w:val="20"/>
                        </w:rPr>
                        <w:t>nastaven podrobný</w:t>
                      </w:r>
                      <w:r w:rsidRPr="00C94F19">
                        <w:rPr>
                          <w:sz w:val="20"/>
                          <w:szCs w:val="20"/>
                        </w:rPr>
                        <w:t xml:space="preserve"> </w:t>
                      </w:r>
                      <w:r w:rsidRPr="00C94F19">
                        <w:rPr>
                          <w:b/>
                          <w:bCs/>
                          <w:sz w:val="20"/>
                          <w:szCs w:val="20"/>
                        </w:rPr>
                        <w:t>způsob</w:t>
                      </w:r>
                      <w:r w:rsidRPr="00C94F19">
                        <w:rPr>
                          <w:sz w:val="20"/>
                          <w:szCs w:val="20"/>
                        </w:rPr>
                        <w:t xml:space="preserve">, jakým měl být po skončení projektů </w:t>
                      </w:r>
                      <w:r w:rsidRPr="00C94F19">
                        <w:rPr>
                          <w:b/>
                          <w:bCs/>
                          <w:sz w:val="20"/>
                          <w:szCs w:val="20"/>
                        </w:rPr>
                        <w:t>vyhodnocen dosažený pokrok</w:t>
                      </w:r>
                      <w:r w:rsidRPr="00C94F19">
                        <w:rPr>
                          <w:sz w:val="20"/>
                          <w:szCs w:val="20"/>
                        </w:rPr>
                        <w:t xml:space="preserve"> v podpořených organizacích.</w:t>
                      </w:r>
                      <w:r>
                        <w:rPr>
                          <w:sz w:val="20"/>
                          <w:szCs w:val="20"/>
                        </w:rPr>
                        <w:t xml:space="preserve"> Součástí projektů a celé </w:t>
                      </w:r>
                      <w:hyperlink r:id="rId19" w:history="1">
                        <w:r w:rsidRPr="00C91C19">
                          <w:rPr>
                            <w:rStyle w:val="Hypertextovodkaz"/>
                            <w:sz w:val="20"/>
                            <w:szCs w:val="20"/>
                          </w:rPr>
                          <w:t xml:space="preserve">výzvy byla </w:t>
                        </w:r>
                        <w:r>
                          <w:rPr>
                            <w:rStyle w:val="Hypertextovodkaz"/>
                            <w:sz w:val="20"/>
                            <w:szCs w:val="20"/>
                          </w:rPr>
                          <w:t xml:space="preserve">od počátku </w:t>
                        </w:r>
                        <w:r w:rsidRPr="00C91C19">
                          <w:rPr>
                            <w:rStyle w:val="Hypertextovodkaz"/>
                            <w:sz w:val="20"/>
                            <w:szCs w:val="20"/>
                          </w:rPr>
                          <w:t>evaluace –</w:t>
                        </w:r>
                      </w:hyperlink>
                      <w:r>
                        <w:rPr>
                          <w:sz w:val="20"/>
                          <w:szCs w:val="20"/>
                        </w:rPr>
                        <w:t xml:space="preserve"> zhodnocení výchozího stavu jednotlivých organizací, před zahájením realizace projektů, a vyhodnocení dosažených změn, na konci realizace projektů. Jako nejvíce nosné se ukázalo zhodnocení efektů pro organizace pomocí dotazníku před zahájením intervence a po skončení intervence doplněné fokusními skupinami s příjemci. Evaluační zprávy od příjemců se neosvědčily.</w:t>
                      </w:r>
                      <w:r w:rsidRPr="000910A4">
                        <w:rPr>
                          <w:b/>
                          <w:bCs/>
                          <w:sz w:val="20"/>
                          <w:szCs w:val="20"/>
                        </w:rPr>
                        <w:t xml:space="preserve"> Kritickými místy </w:t>
                      </w:r>
                      <w:r w:rsidRPr="000910A4">
                        <w:rPr>
                          <w:sz w:val="20"/>
                          <w:szCs w:val="20"/>
                        </w:rPr>
                        <w:t>se</w:t>
                      </w:r>
                      <w:r>
                        <w:rPr>
                          <w:sz w:val="20"/>
                          <w:szCs w:val="20"/>
                        </w:rPr>
                        <w:t xml:space="preserve"> ukázaly být adekvátní kapacita na straně příjemců i poskytovatele dotace.</w:t>
                      </w:r>
                    </w:p>
                    <w:p w14:paraId="5F2B4DEF" w14:textId="77777777" w:rsidR="00DA7E0D" w:rsidRDefault="00DA7E0D" w:rsidP="00B84ED1">
                      <w:pPr>
                        <w:pStyle w:val="zjitn"/>
                        <w:numPr>
                          <w:ilvl w:val="0"/>
                          <w:numId w:val="13"/>
                        </w:numPr>
                        <w:spacing w:line="259" w:lineRule="auto"/>
                      </w:pPr>
                      <w:r w:rsidRPr="006A7A2A">
                        <w:rPr>
                          <w:sz w:val="20"/>
                          <w:szCs w:val="20"/>
                        </w:rPr>
                        <w:t xml:space="preserve">Díky adekvátnímu časovému nastavení sběru dat za jednotlivé projekty mohla být celá výzva řádně vyhodnocena. Podle evaluace (Lipková a kol 2019) této výzvy došlo ke statisticky významnému posunu v implementaci a využívání různých nástrojů pro zvýšení kapacity nevládních neziskových organizací, tedy de facto vytvoření podmínek, aby byly v průběhu dalšího využívání těchto nástrojů naplněny cíle výzvy. </w:t>
                      </w:r>
                    </w:p>
                    <w:p w14:paraId="1B59AE28" w14:textId="77777777" w:rsidR="00DA7E0D" w:rsidRPr="00EA56A4" w:rsidRDefault="00DA7E0D" w:rsidP="00DA7E0D">
                      <w:pPr>
                        <w:shd w:val="clear" w:color="auto" w:fill="FFFFFF"/>
                        <w:spacing w:after="60"/>
                        <w:outlineLvl w:val="0"/>
                        <w:rPr>
                          <w:i/>
                          <w:iCs/>
                          <w:sz w:val="20"/>
                          <w:szCs w:val="20"/>
                        </w:rPr>
                      </w:pPr>
                    </w:p>
                  </w:txbxContent>
                </v:textbox>
                <w10:anchorlock/>
              </v:shape>
            </w:pict>
          </mc:Fallback>
        </mc:AlternateContent>
      </w:r>
      <w:r w:rsidR="00DA7E0D" w:rsidRPr="00CE217B">
        <w:rPr>
          <w:sz w:val="18"/>
          <w:szCs w:val="18"/>
        </w:rPr>
        <w:t xml:space="preserve"> </w:t>
      </w:r>
    </w:p>
    <w:p w14:paraId="48244A70" w14:textId="6284C7F4" w:rsidR="00DA7E0D" w:rsidRDefault="00DA7E0D" w:rsidP="00DA7E0D">
      <w:pPr>
        <w:rPr>
          <w:sz w:val="18"/>
          <w:szCs w:val="18"/>
        </w:rPr>
      </w:pPr>
      <w:r w:rsidRPr="00CE217B">
        <w:rPr>
          <w:sz w:val="18"/>
          <w:szCs w:val="18"/>
        </w:rPr>
        <w:t>Zdroj: Vlastní zpracování na základě zdrojů uvedených v</w:t>
      </w:r>
      <w:r>
        <w:rPr>
          <w:sz w:val="18"/>
          <w:szCs w:val="18"/>
        </w:rPr>
        <w:t> </w:t>
      </w:r>
      <w:r w:rsidRPr="00CE217B">
        <w:rPr>
          <w:sz w:val="18"/>
          <w:szCs w:val="18"/>
        </w:rPr>
        <w:t>boxu</w:t>
      </w:r>
      <w:r>
        <w:rPr>
          <w:sz w:val="18"/>
          <w:szCs w:val="18"/>
        </w:rPr>
        <w:t xml:space="preserve"> a rozhovoru se zástupcem řídicího orgánu</w:t>
      </w:r>
      <w:r w:rsidRPr="00CE217B">
        <w:rPr>
          <w:sz w:val="18"/>
          <w:szCs w:val="18"/>
        </w:rPr>
        <w:t>.</w:t>
      </w:r>
    </w:p>
    <w:p w14:paraId="33487491" w14:textId="77777777" w:rsidR="00DA7E0D" w:rsidRPr="00CE217B" w:rsidRDefault="00DA7E0D" w:rsidP="00DA7E0D">
      <w:pPr>
        <w:rPr>
          <w:sz w:val="18"/>
          <w:szCs w:val="18"/>
        </w:rPr>
      </w:pPr>
    </w:p>
    <w:p w14:paraId="7DACBC42" w14:textId="0576C884" w:rsidR="00DA7E0D" w:rsidRPr="00CE217B" w:rsidRDefault="00DA7E0D" w:rsidP="00B84ED1">
      <w:pPr>
        <w:pStyle w:val="Nadpis1"/>
        <w:numPr>
          <w:ilvl w:val="0"/>
          <w:numId w:val="4"/>
        </w:numPr>
        <w:ind w:left="432" w:hanging="432"/>
      </w:pPr>
      <w:bookmarkStart w:id="41" w:name="_Toc75263411"/>
      <w:r w:rsidRPr="00CE217B">
        <w:lastRenderedPageBreak/>
        <w:t>Zahraniční dobré praxe účelné podpory spolupráce soukromého a neziskového sektoru v rámci ZRS</w:t>
      </w:r>
      <w:bookmarkEnd w:id="41"/>
    </w:p>
    <w:p w14:paraId="66BF2B28" w14:textId="4D21A2C7" w:rsidR="00DA7E0D" w:rsidRPr="00CE217B" w:rsidRDefault="00DA7E0D" w:rsidP="00DA7E0D">
      <w:pPr>
        <w:spacing w:before="100" w:beforeAutospacing="1" w:after="100" w:afterAutospacing="1"/>
      </w:pPr>
      <w:r w:rsidRPr="00CE217B">
        <w:t>Budování partnerství napříč sektory je fenoménem posledních let, nejen v oblasti rozvojové spolupráce. Propojování komerčních projektů, investic a know-how soukromého sektoru se sociálním kapitálem a inkluzivním přístupem neziskových organizací efektivněji přispívá k udržitelnému rozvoji (</w:t>
      </w:r>
      <w:proofErr w:type="spellStart"/>
      <w:r w:rsidRPr="00CE217B">
        <w:t>Kuenkel</w:t>
      </w:r>
      <w:proofErr w:type="spellEnd"/>
      <w:r w:rsidRPr="00CE217B">
        <w:t xml:space="preserve"> a </w:t>
      </w:r>
      <w:proofErr w:type="spellStart"/>
      <w:r w:rsidRPr="00CE217B">
        <w:t>Aitken</w:t>
      </w:r>
      <w:proofErr w:type="spellEnd"/>
      <w:r w:rsidRPr="00CE217B">
        <w:t xml:space="preserve">, 2015; </w:t>
      </w:r>
      <w:proofErr w:type="spellStart"/>
      <w:r w:rsidRPr="00CE217B">
        <w:t>Byiers</w:t>
      </w:r>
      <w:proofErr w:type="spellEnd"/>
      <w:r w:rsidRPr="00CE217B">
        <w:t xml:space="preserve">, 2015). Důležitost </w:t>
      </w:r>
      <w:proofErr w:type="spellStart"/>
      <w:r w:rsidRPr="00CE217B">
        <w:rPr>
          <w:i/>
          <w:iCs/>
        </w:rPr>
        <w:t>multi</w:t>
      </w:r>
      <w:proofErr w:type="spellEnd"/>
      <w:r w:rsidRPr="00CE217B">
        <w:rPr>
          <w:i/>
          <w:iCs/>
        </w:rPr>
        <w:t>-stakeholder</w:t>
      </w:r>
      <w:r w:rsidRPr="00CE217B">
        <w:t xml:space="preserve"> partnerství zdůrazňují i </w:t>
      </w:r>
      <w:r w:rsidRPr="00CE217B">
        <w:rPr>
          <w:i/>
          <w:iCs/>
        </w:rPr>
        <w:t>Cíle udržitelného rozvoje</w:t>
      </w:r>
      <w:r w:rsidRPr="00CE217B">
        <w:t xml:space="preserve"> (zejména </w:t>
      </w:r>
      <w:r w:rsidRPr="00CE217B">
        <w:rPr>
          <w:i/>
          <w:iCs/>
        </w:rPr>
        <w:t>SDG 17</w:t>
      </w:r>
      <w:r w:rsidRPr="00CE217B">
        <w:t xml:space="preserve">), </w:t>
      </w:r>
      <w:r w:rsidRPr="00CE217B">
        <w:rPr>
          <w:i/>
          <w:iCs/>
        </w:rPr>
        <w:t xml:space="preserve">Akční agenda z Addis Abeby </w:t>
      </w:r>
      <w:r w:rsidRPr="00CE217B">
        <w:t xml:space="preserve">či </w:t>
      </w:r>
      <w:r w:rsidRPr="00CE217B">
        <w:rPr>
          <w:i/>
          <w:iCs/>
        </w:rPr>
        <w:t>Evropský konsensus o rozvoji</w:t>
      </w:r>
      <w:r w:rsidRPr="00CE217B">
        <w:t>. Rostoucí relevanci partnerství mezi soukromým a neziskovým sektorem v rámci rozvojové spolupráce je možné částečně vysvětlit dvěma trendy – (i) soukromý sektor se stává významnějším aktérem ZRS obecně a (</w:t>
      </w:r>
      <w:proofErr w:type="spellStart"/>
      <w:r w:rsidRPr="00CE217B">
        <w:t>ii</w:t>
      </w:r>
      <w:proofErr w:type="spellEnd"/>
      <w:r w:rsidRPr="00CE217B">
        <w:t xml:space="preserve">) spolupráce mezi sektory je čím dál více chápána jako způsob, jak efektivněji dosáhnout rozvojových cílů. </w:t>
      </w:r>
    </w:p>
    <w:p w14:paraId="4EE78F0C" w14:textId="1E6E866F" w:rsidR="00DA7E0D" w:rsidRPr="00CE217B" w:rsidRDefault="00DA7E0D" w:rsidP="00DA7E0D">
      <w:pPr>
        <w:spacing w:before="100" w:beforeAutospacing="1" w:after="100" w:afterAutospacing="1"/>
      </w:pPr>
      <w:r w:rsidRPr="00CE217B">
        <w:t>Zapojování aktérů napříč sektory podporuje hledání efektivních řešení rozvojových výzev. Účast neziskové organizace na komerčním rozvojovém projektu může zvýšit reputaci jak soukromého realizátora, tak projektu samotného a šanci, že projekt (resp. produkt, služba aj.) bude pozitivně přijat místní komunitou, čímž se zvyšuje i udržitelnost dosažených výsledků (</w:t>
      </w:r>
      <w:proofErr w:type="spellStart"/>
      <w:r w:rsidRPr="00CE217B">
        <w:t>Hilson</w:t>
      </w:r>
      <w:proofErr w:type="spellEnd"/>
      <w:r w:rsidRPr="00CE217B">
        <w:t>, 2012; Smith et al., 2012). Díky znalosti kontextu a potřeb různých skupin v místě mohou neziskové organizace pomoci projekt efektivněji zacílit a následně implementovat. Naopak skrze mobilizaci zdrojů soukromého sektoru může mít projekt výrazně vyšší dosah a rozvojový efekt (</w:t>
      </w:r>
      <w:proofErr w:type="spellStart"/>
      <w:r w:rsidR="00FA5383" w:rsidRPr="00F065EF">
        <w:t>Allard</w:t>
      </w:r>
      <w:proofErr w:type="spellEnd"/>
      <w:r w:rsidR="00FA5383" w:rsidRPr="00F065EF">
        <w:t xml:space="preserve"> a </w:t>
      </w:r>
      <w:proofErr w:type="spellStart"/>
      <w:r w:rsidR="00FA5383" w:rsidRPr="00F065EF">
        <w:t>Martinez</w:t>
      </w:r>
      <w:proofErr w:type="spellEnd"/>
      <w:r w:rsidRPr="00CE217B">
        <w:t xml:space="preserve">, 2008; </w:t>
      </w:r>
      <w:proofErr w:type="spellStart"/>
      <w:r w:rsidRPr="00CE217B">
        <w:t>Dahan</w:t>
      </w:r>
      <w:proofErr w:type="spellEnd"/>
      <w:r w:rsidRPr="00CE217B">
        <w:t xml:space="preserve"> et al., 2010; Austin a </w:t>
      </w:r>
      <w:proofErr w:type="spellStart"/>
      <w:r w:rsidRPr="00CE217B">
        <w:t>Seitanidi</w:t>
      </w:r>
      <w:proofErr w:type="spellEnd"/>
      <w:r w:rsidRPr="00CE217B">
        <w:t xml:space="preserve">, 2012; </w:t>
      </w:r>
      <w:proofErr w:type="spellStart"/>
      <w:r w:rsidRPr="00CE217B">
        <w:t>Kindornay</w:t>
      </w:r>
      <w:proofErr w:type="spellEnd"/>
      <w:r w:rsidRPr="00CE217B">
        <w:t xml:space="preserve"> et al., 2014). Díky partnerství jsou zapojení aktéři schopni převzít vyšší míru rizika a flexibilněji reagovat na různé výzvy v často velmi komplikovaném prostředí rozvojových zemí (</w:t>
      </w:r>
      <w:proofErr w:type="spellStart"/>
      <w:r w:rsidRPr="00CE217B">
        <w:t>Kolk</w:t>
      </w:r>
      <w:proofErr w:type="spellEnd"/>
      <w:r w:rsidRPr="00CE217B">
        <w:t xml:space="preserve"> et al., 2008).</w:t>
      </w:r>
    </w:p>
    <w:p w14:paraId="2467A052" w14:textId="70A477A6" w:rsidR="00DA7E0D" w:rsidRPr="004D66A3" w:rsidRDefault="00DA7E0D" w:rsidP="00DA7E0D">
      <w:pPr>
        <w:spacing w:before="100" w:beforeAutospacing="1" w:after="100" w:afterAutospacing="1"/>
      </w:pPr>
      <w:r w:rsidRPr="00CE217B">
        <w:rPr>
          <w:b/>
          <w:bCs/>
        </w:rPr>
        <w:t xml:space="preserve">Budování </w:t>
      </w:r>
      <w:proofErr w:type="spellStart"/>
      <w:r w:rsidRPr="00CE217B">
        <w:rPr>
          <w:b/>
          <w:bCs/>
          <w:i/>
          <w:iCs/>
        </w:rPr>
        <w:t>multi</w:t>
      </w:r>
      <w:proofErr w:type="spellEnd"/>
      <w:r w:rsidRPr="00CE217B">
        <w:rPr>
          <w:b/>
          <w:bCs/>
          <w:i/>
          <w:iCs/>
        </w:rPr>
        <w:t>-stakeholder</w:t>
      </w:r>
      <w:r w:rsidRPr="00CE217B">
        <w:rPr>
          <w:b/>
          <w:bCs/>
        </w:rPr>
        <w:t xml:space="preserve"> partnerství</w:t>
      </w:r>
      <w:r w:rsidRPr="00CE217B">
        <w:t xml:space="preserve"> a posilování důvěry napříč sektory je </w:t>
      </w:r>
      <w:r w:rsidRPr="00CE217B">
        <w:rPr>
          <w:b/>
          <w:bCs/>
        </w:rPr>
        <w:t>velmi komplexní proces</w:t>
      </w:r>
      <w:r w:rsidRPr="00CE217B">
        <w:t xml:space="preserve">, který </w:t>
      </w:r>
      <w:r w:rsidRPr="00CE217B">
        <w:rPr>
          <w:b/>
          <w:bCs/>
        </w:rPr>
        <w:t>vyžaduje kontinuální koordinaci</w:t>
      </w:r>
      <w:r w:rsidRPr="00CE217B">
        <w:t xml:space="preserve">. Důležitou úlohu v podpoře dlouhodobých partnerství v oblasti ZRS mají rozvojové agentury/ministerstva zahraničí disponující řadou nástrojů, zároveň mohou hrát roli </w:t>
      </w:r>
      <w:r w:rsidRPr="00CE217B">
        <w:rPr>
          <w:i/>
          <w:iCs/>
        </w:rPr>
        <w:t xml:space="preserve">neutrálního facilitátora </w:t>
      </w:r>
      <w:r w:rsidRPr="00CE217B">
        <w:t xml:space="preserve">(viz </w:t>
      </w:r>
      <w:proofErr w:type="spellStart"/>
      <w:r w:rsidRPr="00CE217B">
        <w:rPr>
          <w:i/>
          <w:iCs/>
        </w:rPr>
        <w:t>Swedish</w:t>
      </w:r>
      <w:proofErr w:type="spellEnd"/>
      <w:r w:rsidRPr="00CE217B">
        <w:rPr>
          <w:i/>
          <w:iCs/>
        </w:rPr>
        <w:t xml:space="preserve"> Leadership </w:t>
      </w:r>
      <w:proofErr w:type="spellStart"/>
      <w:r w:rsidRPr="00CE217B">
        <w:rPr>
          <w:i/>
          <w:iCs/>
        </w:rPr>
        <w:t>for</w:t>
      </w:r>
      <w:proofErr w:type="spellEnd"/>
      <w:r w:rsidRPr="00CE217B">
        <w:rPr>
          <w:i/>
          <w:iCs/>
        </w:rPr>
        <w:t xml:space="preserve"> </w:t>
      </w:r>
      <w:proofErr w:type="spellStart"/>
      <w:r w:rsidRPr="00CE217B">
        <w:rPr>
          <w:i/>
          <w:iCs/>
        </w:rPr>
        <w:t>Sustainable</w:t>
      </w:r>
      <w:proofErr w:type="spellEnd"/>
      <w:r w:rsidRPr="00CE217B">
        <w:rPr>
          <w:i/>
          <w:iCs/>
        </w:rPr>
        <w:t xml:space="preserve"> Development) </w:t>
      </w:r>
      <w:r w:rsidRPr="00CE217B">
        <w:t>či</w:t>
      </w:r>
      <w:r w:rsidRPr="00CE217B">
        <w:rPr>
          <w:i/>
          <w:iCs/>
        </w:rPr>
        <w:t xml:space="preserve"> brokera (viz </w:t>
      </w:r>
      <w:proofErr w:type="spellStart"/>
      <w:r w:rsidRPr="00CE217B">
        <w:rPr>
          <w:i/>
          <w:iCs/>
        </w:rPr>
        <w:t>Capacity</w:t>
      </w:r>
      <w:proofErr w:type="spellEnd"/>
      <w:r w:rsidRPr="00CE217B">
        <w:rPr>
          <w:i/>
          <w:iCs/>
        </w:rPr>
        <w:t xml:space="preserve"> Development </w:t>
      </w:r>
      <w:proofErr w:type="spellStart"/>
      <w:r w:rsidRPr="00CE217B">
        <w:rPr>
          <w:i/>
          <w:iCs/>
        </w:rPr>
        <w:t>for</w:t>
      </w:r>
      <w:proofErr w:type="spellEnd"/>
      <w:r w:rsidRPr="00CE217B">
        <w:rPr>
          <w:i/>
          <w:iCs/>
        </w:rPr>
        <w:t xml:space="preserve"> </w:t>
      </w:r>
      <w:proofErr w:type="spellStart"/>
      <w:r w:rsidRPr="00CE217B">
        <w:rPr>
          <w:i/>
          <w:iCs/>
        </w:rPr>
        <w:t>Partnership</w:t>
      </w:r>
      <w:proofErr w:type="spellEnd"/>
      <w:r w:rsidRPr="00CE217B">
        <w:rPr>
          <w:i/>
          <w:iCs/>
        </w:rPr>
        <w:t xml:space="preserve"> </w:t>
      </w:r>
      <w:proofErr w:type="spellStart"/>
      <w:r w:rsidRPr="00CE217B">
        <w:rPr>
          <w:i/>
          <w:iCs/>
        </w:rPr>
        <w:t>with</w:t>
      </w:r>
      <w:proofErr w:type="spellEnd"/>
      <w:r w:rsidRPr="00CE217B">
        <w:rPr>
          <w:i/>
          <w:iCs/>
        </w:rPr>
        <w:t xml:space="preserve"> </w:t>
      </w:r>
      <w:proofErr w:type="spellStart"/>
      <w:r w:rsidRPr="00CE217B">
        <w:rPr>
          <w:i/>
          <w:iCs/>
        </w:rPr>
        <w:t>the</w:t>
      </w:r>
      <w:proofErr w:type="spellEnd"/>
      <w:r w:rsidRPr="00CE217B">
        <w:rPr>
          <w:i/>
          <w:iCs/>
        </w:rPr>
        <w:t xml:space="preserve"> </w:t>
      </w:r>
      <w:proofErr w:type="spellStart"/>
      <w:r w:rsidRPr="00CE217B">
        <w:rPr>
          <w:i/>
          <w:iCs/>
        </w:rPr>
        <w:t>Private</w:t>
      </w:r>
      <w:proofErr w:type="spellEnd"/>
      <w:r w:rsidRPr="00CE217B">
        <w:rPr>
          <w:i/>
          <w:iCs/>
        </w:rPr>
        <w:t xml:space="preserve"> </w:t>
      </w:r>
      <w:proofErr w:type="spellStart"/>
      <w:r w:rsidRPr="00CE217B">
        <w:rPr>
          <w:i/>
          <w:iCs/>
        </w:rPr>
        <w:t>Sector</w:t>
      </w:r>
      <w:proofErr w:type="spellEnd"/>
      <w:r w:rsidRPr="00CE217B">
        <w:rPr>
          <w:i/>
          <w:iCs/>
        </w:rPr>
        <w:t>)</w:t>
      </w:r>
      <w:r w:rsidRPr="00CE217B">
        <w:t xml:space="preserve">. K podpoře rozvojových partnerství mezi soukromým a neziskovým sektorem je potřeba </w:t>
      </w:r>
      <w:r w:rsidRPr="00CE217B">
        <w:rPr>
          <w:b/>
          <w:bCs/>
        </w:rPr>
        <w:t>strategický, pragmatický a proaktivní přístup donora vyžadující flexibilitu</w:t>
      </w:r>
      <w:r w:rsidRPr="00CE217B">
        <w:t xml:space="preserve"> (</w:t>
      </w:r>
      <w:proofErr w:type="spellStart"/>
      <w:r w:rsidRPr="00CE217B">
        <w:t>Karaki</w:t>
      </w:r>
      <w:proofErr w:type="spellEnd"/>
      <w:r w:rsidRPr="00CE217B">
        <w:t xml:space="preserve"> a </w:t>
      </w:r>
      <w:proofErr w:type="spellStart"/>
      <w:r w:rsidRPr="00CE217B">
        <w:t>Medinilla</w:t>
      </w:r>
      <w:proofErr w:type="spellEnd"/>
      <w:r w:rsidRPr="00CE217B">
        <w:t xml:space="preserve">, 2016). Včasné zapojení rozvojové agentury/ministerstva (viz </w:t>
      </w:r>
      <w:proofErr w:type="spellStart"/>
      <w:r w:rsidRPr="00CE217B">
        <w:rPr>
          <w:i/>
          <w:iCs/>
        </w:rPr>
        <w:t>Danida</w:t>
      </w:r>
      <w:proofErr w:type="spellEnd"/>
      <w:r w:rsidRPr="00CE217B">
        <w:rPr>
          <w:i/>
          <w:iCs/>
        </w:rPr>
        <w:t xml:space="preserve"> Market Development </w:t>
      </w:r>
      <w:proofErr w:type="spellStart"/>
      <w:r w:rsidRPr="00CE217B">
        <w:rPr>
          <w:i/>
          <w:iCs/>
        </w:rPr>
        <w:t>Partnership</w:t>
      </w:r>
      <w:proofErr w:type="spellEnd"/>
      <w:r w:rsidRPr="00CE217B">
        <w:rPr>
          <w:i/>
          <w:iCs/>
        </w:rPr>
        <w:t xml:space="preserve"> Program) </w:t>
      </w:r>
      <w:r w:rsidRPr="00CE217B">
        <w:t>může pomoci k efektivnějšímu designu projektu. Donor má též možnost vhodným nastavením mechanismů přispět k rovnoměrnějšímu rozložení moci mezi partnery a tím přispět k budování rovnocenného partnerství, například tím, že finanční management projektu má na starosti nezisková organizace, nikoliv komerční partner (viz</w:t>
      </w:r>
      <w:r w:rsidRPr="00CE217B">
        <w:rPr>
          <w:i/>
          <w:iCs/>
        </w:rPr>
        <w:t xml:space="preserve"> Public </w:t>
      </w:r>
      <w:proofErr w:type="spellStart"/>
      <w:r w:rsidRPr="00CE217B">
        <w:rPr>
          <w:i/>
          <w:iCs/>
        </w:rPr>
        <w:t>Private</w:t>
      </w:r>
      <w:proofErr w:type="spellEnd"/>
      <w:r w:rsidRPr="00CE217B">
        <w:rPr>
          <w:i/>
          <w:iCs/>
        </w:rPr>
        <w:t xml:space="preserve"> Development Program</w:t>
      </w:r>
      <w:r w:rsidRPr="00CE217B">
        <w:t xml:space="preserve">). Obecným trendem v podpoře </w:t>
      </w:r>
      <w:r w:rsidRPr="004D66A3">
        <w:t xml:space="preserve">partnerství napříč sektory je </w:t>
      </w:r>
      <w:r w:rsidRPr="004D66A3">
        <w:rPr>
          <w:b/>
          <w:bCs/>
        </w:rPr>
        <w:t xml:space="preserve">komplexní přístup kombinující různé typy nástrojů </w:t>
      </w:r>
      <w:r w:rsidRPr="004D66A3">
        <w:t xml:space="preserve">(viz </w:t>
      </w:r>
      <w:proofErr w:type="spellStart"/>
      <w:r w:rsidRPr="004D66A3">
        <w:rPr>
          <w:i/>
          <w:iCs/>
        </w:rPr>
        <w:t>Finnpartnership</w:t>
      </w:r>
      <w:proofErr w:type="spellEnd"/>
      <w:r w:rsidRPr="004D66A3">
        <w:t xml:space="preserve">). Více podrobností ke zmíněným příkladům přináší následující tabulka s příklady dobré praxe. </w:t>
      </w:r>
    </w:p>
    <w:p w14:paraId="367E1EEA" w14:textId="77777777" w:rsidR="00DA7E0D" w:rsidRPr="00CE217B" w:rsidRDefault="00DA7E0D" w:rsidP="00DA7E0D">
      <w:pPr>
        <w:rPr>
          <w:b/>
          <w:bCs/>
        </w:rPr>
      </w:pPr>
      <w:r w:rsidRPr="004D66A3">
        <w:rPr>
          <w:b/>
          <w:bCs/>
        </w:rPr>
        <w:t>Tabulka 2: Příklady dobré</w:t>
      </w:r>
      <w:r w:rsidRPr="00CE217B">
        <w:rPr>
          <w:b/>
          <w:bCs/>
        </w:rPr>
        <w:t xml:space="preserve"> praxe zapojování soukromého sektoru do ZRS / partnerství </w:t>
      </w:r>
    </w:p>
    <w:tbl>
      <w:tblPr>
        <w:tblStyle w:val="Mkatabulky"/>
        <w:tblW w:w="0" w:type="auto"/>
        <w:tblLook w:val="04A0" w:firstRow="1" w:lastRow="0" w:firstColumn="1" w:lastColumn="0" w:noHBand="0" w:noVBand="1"/>
      </w:tblPr>
      <w:tblGrid>
        <w:gridCol w:w="1005"/>
        <w:gridCol w:w="1956"/>
        <w:gridCol w:w="4989"/>
        <w:gridCol w:w="1501"/>
      </w:tblGrid>
      <w:tr w:rsidR="00DA7E0D" w:rsidRPr="00CE217B" w14:paraId="4E9CBCE6" w14:textId="77777777" w:rsidTr="00AD5FA3">
        <w:tc>
          <w:tcPr>
            <w:tcW w:w="749" w:type="dxa"/>
            <w:shd w:val="clear" w:color="auto" w:fill="E7E6E6" w:themeFill="background2"/>
          </w:tcPr>
          <w:p w14:paraId="1F74C888" w14:textId="77777777" w:rsidR="00DA7E0D" w:rsidRPr="00CE217B" w:rsidRDefault="00DA7E0D" w:rsidP="00AD5FA3">
            <w:pPr>
              <w:rPr>
                <w:b/>
                <w:bCs/>
                <w:sz w:val="20"/>
                <w:szCs w:val="20"/>
              </w:rPr>
            </w:pPr>
            <w:r w:rsidRPr="00CE217B">
              <w:rPr>
                <w:b/>
                <w:bCs/>
                <w:sz w:val="20"/>
                <w:szCs w:val="20"/>
              </w:rPr>
              <w:t xml:space="preserve">Země </w:t>
            </w:r>
          </w:p>
        </w:tc>
        <w:tc>
          <w:tcPr>
            <w:tcW w:w="1777" w:type="dxa"/>
            <w:shd w:val="clear" w:color="auto" w:fill="E7E6E6" w:themeFill="background2"/>
          </w:tcPr>
          <w:p w14:paraId="5E3DD4DC" w14:textId="77777777" w:rsidR="00DA7E0D" w:rsidRPr="00CE217B" w:rsidRDefault="00DA7E0D" w:rsidP="00AD5FA3">
            <w:pPr>
              <w:rPr>
                <w:b/>
                <w:bCs/>
                <w:sz w:val="20"/>
                <w:szCs w:val="20"/>
              </w:rPr>
            </w:pPr>
            <w:r w:rsidRPr="00CE217B">
              <w:rPr>
                <w:b/>
                <w:bCs/>
                <w:sz w:val="20"/>
                <w:szCs w:val="20"/>
              </w:rPr>
              <w:t>Program a klíčová dobrá praxe</w:t>
            </w:r>
          </w:p>
        </w:tc>
        <w:tc>
          <w:tcPr>
            <w:tcW w:w="4989" w:type="dxa"/>
            <w:shd w:val="clear" w:color="auto" w:fill="E7E6E6" w:themeFill="background2"/>
          </w:tcPr>
          <w:p w14:paraId="051BD265" w14:textId="77777777" w:rsidR="00DA7E0D" w:rsidRPr="00CE217B" w:rsidRDefault="00DA7E0D" w:rsidP="00AD5FA3">
            <w:pPr>
              <w:rPr>
                <w:b/>
                <w:bCs/>
                <w:sz w:val="20"/>
                <w:szCs w:val="20"/>
              </w:rPr>
            </w:pPr>
            <w:r w:rsidRPr="00CE217B">
              <w:rPr>
                <w:b/>
                <w:bCs/>
                <w:sz w:val="20"/>
                <w:szCs w:val="20"/>
              </w:rPr>
              <w:t>Podrobnosti</w:t>
            </w:r>
          </w:p>
        </w:tc>
        <w:tc>
          <w:tcPr>
            <w:tcW w:w="1501" w:type="dxa"/>
            <w:shd w:val="clear" w:color="auto" w:fill="E7E6E6" w:themeFill="background2"/>
          </w:tcPr>
          <w:p w14:paraId="17631156" w14:textId="77777777" w:rsidR="00DA7E0D" w:rsidRPr="00CE217B" w:rsidRDefault="00DA7E0D" w:rsidP="00AD5FA3">
            <w:pPr>
              <w:rPr>
                <w:b/>
                <w:bCs/>
                <w:sz w:val="20"/>
                <w:szCs w:val="20"/>
              </w:rPr>
            </w:pPr>
            <w:r w:rsidRPr="00CE217B">
              <w:rPr>
                <w:b/>
                <w:bCs/>
                <w:sz w:val="20"/>
                <w:szCs w:val="20"/>
              </w:rPr>
              <w:t>Využití pro českou ZRS</w:t>
            </w:r>
          </w:p>
        </w:tc>
      </w:tr>
      <w:tr w:rsidR="00DA7E0D" w:rsidRPr="00CE217B" w14:paraId="702DB11C" w14:textId="77777777" w:rsidTr="00AD5FA3">
        <w:tc>
          <w:tcPr>
            <w:tcW w:w="749" w:type="dxa"/>
          </w:tcPr>
          <w:p w14:paraId="6E07A748" w14:textId="77777777" w:rsidR="00DA7E0D" w:rsidRPr="00CE217B" w:rsidRDefault="00DA7E0D" w:rsidP="00AD5FA3">
            <w:pPr>
              <w:rPr>
                <w:b/>
                <w:bCs/>
                <w:sz w:val="20"/>
                <w:szCs w:val="20"/>
              </w:rPr>
            </w:pPr>
            <w:r w:rsidRPr="00CE217B">
              <w:rPr>
                <w:b/>
                <w:bCs/>
                <w:sz w:val="20"/>
                <w:szCs w:val="20"/>
              </w:rPr>
              <w:t>Švédsko</w:t>
            </w:r>
          </w:p>
        </w:tc>
        <w:tc>
          <w:tcPr>
            <w:tcW w:w="1777" w:type="dxa"/>
          </w:tcPr>
          <w:p w14:paraId="36A96C4B" w14:textId="77777777" w:rsidR="00DA7E0D" w:rsidRPr="00CE217B" w:rsidRDefault="00DA7E0D" w:rsidP="00AD5FA3">
            <w:pPr>
              <w:rPr>
                <w:i/>
                <w:iCs/>
                <w:sz w:val="20"/>
                <w:szCs w:val="20"/>
              </w:rPr>
            </w:pPr>
            <w:proofErr w:type="spellStart"/>
            <w:r w:rsidRPr="00CE217B">
              <w:rPr>
                <w:i/>
                <w:iCs/>
                <w:sz w:val="20"/>
                <w:szCs w:val="20"/>
              </w:rPr>
              <w:t>Swedish</w:t>
            </w:r>
            <w:proofErr w:type="spellEnd"/>
            <w:r w:rsidRPr="00CE217B">
              <w:rPr>
                <w:i/>
                <w:iCs/>
                <w:sz w:val="20"/>
                <w:szCs w:val="20"/>
              </w:rPr>
              <w:t xml:space="preserve"> Leadership </w:t>
            </w:r>
            <w:proofErr w:type="spellStart"/>
            <w:r w:rsidRPr="00CE217B">
              <w:rPr>
                <w:i/>
                <w:iCs/>
                <w:sz w:val="20"/>
                <w:szCs w:val="20"/>
              </w:rPr>
              <w:t>for</w:t>
            </w:r>
            <w:proofErr w:type="spellEnd"/>
            <w:r w:rsidRPr="00CE217B">
              <w:rPr>
                <w:i/>
                <w:iCs/>
                <w:sz w:val="20"/>
                <w:szCs w:val="20"/>
              </w:rPr>
              <w:t xml:space="preserve"> </w:t>
            </w:r>
            <w:proofErr w:type="spellStart"/>
            <w:r w:rsidRPr="00CE217B">
              <w:rPr>
                <w:i/>
                <w:iCs/>
                <w:sz w:val="20"/>
                <w:szCs w:val="20"/>
              </w:rPr>
              <w:t>Sustainable</w:t>
            </w:r>
            <w:proofErr w:type="spellEnd"/>
            <w:r w:rsidRPr="00CE217B">
              <w:rPr>
                <w:i/>
                <w:iCs/>
                <w:sz w:val="20"/>
                <w:szCs w:val="20"/>
              </w:rPr>
              <w:t xml:space="preserve"> Development (SLSD)</w:t>
            </w:r>
          </w:p>
          <w:p w14:paraId="1CAC4BE5" w14:textId="77777777" w:rsidR="00DA7E0D" w:rsidRPr="00CE217B" w:rsidRDefault="00DA7E0D" w:rsidP="00AD5FA3">
            <w:pPr>
              <w:rPr>
                <w:i/>
                <w:iCs/>
                <w:sz w:val="20"/>
                <w:szCs w:val="20"/>
              </w:rPr>
            </w:pPr>
          </w:p>
          <w:p w14:paraId="18E85115" w14:textId="77777777" w:rsidR="00DA7E0D" w:rsidRPr="00CE217B" w:rsidRDefault="00DA7E0D" w:rsidP="00AD5FA3">
            <w:pPr>
              <w:rPr>
                <w:i/>
                <w:iCs/>
                <w:sz w:val="20"/>
                <w:szCs w:val="20"/>
              </w:rPr>
            </w:pPr>
          </w:p>
          <w:p w14:paraId="237B51A5" w14:textId="77777777" w:rsidR="00DA7E0D" w:rsidRPr="00CE217B" w:rsidRDefault="00DA7E0D" w:rsidP="00AD5FA3">
            <w:pPr>
              <w:rPr>
                <w:i/>
                <w:iCs/>
                <w:sz w:val="20"/>
                <w:szCs w:val="20"/>
              </w:rPr>
            </w:pPr>
          </w:p>
          <w:p w14:paraId="618CAAAE" w14:textId="77777777" w:rsidR="007161F3" w:rsidRDefault="00DA7E0D" w:rsidP="007161F3">
            <w:pPr>
              <w:keepNext/>
              <w:spacing w:after="0"/>
              <w:rPr>
                <w:sz w:val="20"/>
                <w:szCs w:val="20"/>
              </w:rPr>
            </w:pPr>
            <w:r w:rsidRPr="00CE217B">
              <w:rPr>
                <w:sz w:val="20"/>
                <w:szCs w:val="20"/>
              </w:rPr>
              <w:lastRenderedPageBreak/>
              <w:t>Dobrá praxe</w:t>
            </w:r>
            <w:r w:rsidR="007161F3">
              <w:rPr>
                <w:sz w:val="20"/>
                <w:szCs w:val="20"/>
              </w:rPr>
              <w:t>:</w:t>
            </w:r>
          </w:p>
          <w:p w14:paraId="5FE13A3C" w14:textId="65BB67DE" w:rsidR="00DA7E0D" w:rsidRPr="00CE217B" w:rsidRDefault="00DA7E0D" w:rsidP="007161F3">
            <w:pPr>
              <w:rPr>
                <w:i/>
                <w:iCs/>
                <w:sz w:val="20"/>
                <w:szCs w:val="20"/>
              </w:rPr>
            </w:pPr>
            <w:r w:rsidRPr="00CE217B">
              <w:rPr>
                <w:b/>
                <w:bCs/>
                <w:sz w:val="18"/>
                <w:szCs w:val="18"/>
              </w:rPr>
              <w:t>flexibilní přístup a profesionalita SIDA, rovnocenné partnerství (např. workshopy pro účastníky nepořádá jen SIDA, ale i členské organizace – firmy)</w:t>
            </w:r>
          </w:p>
        </w:tc>
        <w:tc>
          <w:tcPr>
            <w:tcW w:w="4989" w:type="dxa"/>
          </w:tcPr>
          <w:p w14:paraId="5E83F15A" w14:textId="77777777" w:rsidR="00DA7E0D" w:rsidRPr="00CE217B" w:rsidRDefault="00DA7E0D" w:rsidP="00AD5FA3">
            <w:pPr>
              <w:rPr>
                <w:sz w:val="20"/>
                <w:szCs w:val="20"/>
              </w:rPr>
            </w:pPr>
            <w:r w:rsidRPr="00CE217B">
              <w:rPr>
                <w:sz w:val="20"/>
                <w:szCs w:val="20"/>
              </w:rPr>
              <w:lastRenderedPageBreak/>
              <w:t xml:space="preserve">SLSD je síť dvou desítek významných švédských firem a expertních organizací, spoluzaložená a koordinovaná švédskou rozvojovou agenturou (SIDA), sloužící jako platforma pro sdílení dobré praxe, nová partnerství a spolupráci mezi soukromým sektorem, vládními agenturami a neziskovým sektorem v oblasti udržitelného rozvoje. Další obdobná fóra zakládají ambasády přímo v partnerských zemích. </w:t>
            </w:r>
          </w:p>
          <w:p w14:paraId="465568AB" w14:textId="4A1A9F22" w:rsidR="00DA7E0D" w:rsidRPr="00CE217B" w:rsidRDefault="00DA7E0D" w:rsidP="00AD5FA3">
            <w:pPr>
              <w:rPr>
                <w:sz w:val="20"/>
                <w:szCs w:val="20"/>
              </w:rPr>
            </w:pPr>
            <w:r w:rsidRPr="00CE217B">
              <w:rPr>
                <w:sz w:val="20"/>
                <w:szCs w:val="20"/>
              </w:rPr>
              <w:t xml:space="preserve">Platforma pořádá pravidelné semináře a workshopy pro své členy, kulaté stoly s celosvětově uznávanými experty, pravidelná setkání pracovních skupin (vč. </w:t>
            </w:r>
            <w:proofErr w:type="spellStart"/>
            <w:r w:rsidRPr="00CE217B">
              <w:rPr>
                <w:i/>
                <w:iCs/>
                <w:sz w:val="20"/>
                <w:szCs w:val="20"/>
              </w:rPr>
              <w:t>field</w:t>
            </w:r>
            <w:proofErr w:type="spellEnd"/>
            <w:r w:rsidRPr="00CE217B">
              <w:rPr>
                <w:i/>
                <w:iCs/>
                <w:sz w:val="20"/>
                <w:szCs w:val="20"/>
              </w:rPr>
              <w:t xml:space="preserve"> </w:t>
            </w:r>
            <w:proofErr w:type="spellStart"/>
            <w:r w:rsidRPr="00CE217B">
              <w:rPr>
                <w:i/>
                <w:iCs/>
                <w:sz w:val="20"/>
                <w:szCs w:val="20"/>
              </w:rPr>
              <w:t>visits</w:t>
            </w:r>
            <w:proofErr w:type="spellEnd"/>
            <w:r w:rsidRPr="00CE217B">
              <w:rPr>
                <w:sz w:val="20"/>
                <w:szCs w:val="20"/>
              </w:rPr>
              <w:t xml:space="preserve">, </w:t>
            </w:r>
            <w:r w:rsidRPr="00CE217B">
              <w:rPr>
                <w:sz w:val="20"/>
                <w:szCs w:val="20"/>
              </w:rPr>
              <w:lastRenderedPageBreak/>
              <w:t>v </w:t>
            </w:r>
            <w:proofErr w:type="gramStart"/>
            <w:r w:rsidRPr="00CE217B">
              <w:rPr>
                <w:sz w:val="20"/>
                <w:szCs w:val="20"/>
              </w:rPr>
              <w:t>rámci</w:t>
            </w:r>
            <w:proofErr w:type="gramEnd"/>
            <w:r w:rsidRPr="00CE217B">
              <w:rPr>
                <w:sz w:val="20"/>
                <w:szCs w:val="20"/>
              </w:rPr>
              <w:t xml:space="preserve"> kterých dochází k </w:t>
            </w:r>
            <w:r w:rsidRPr="00CE217B">
              <w:rPr>
                <w:i/>
                <w:iCs/>
                <w:sz w:val="20"/>
                <w:szCs w:val="20"/>
              </w:rPr>
              <w:t xml:space="preserve">peer learningu </w:t>
            </w:r>
            <w:r w:rsidRPr="00CE217B">
              <w:rPr>
                <w:sz w:val="20"/>
                <w:szCs w:val="20"/>
              </w:rPr>
              <w:t>nejen během návštěv členských firem) apod.</w:t>
            </w:r>
          </w:p>
          <w:p w14:paraId="559D48C7" w14:textId="77777777" w:rsidR="00DA7E0D" w:rsidRPr="00CE217B" w:rsidRDefault="00DA7E0D" w:rsidP="00AD5FA3">
            <w:pPr>
              <w:rPr>
                <w:sz w:val="20"/>
                <w:szCs w:val="20"/>
              </w:rPr>
            </w:pPr>
            <w:r w:rsidRPr="00CE217B">
              <w:rPr>
                <w:sz w:val="20"/>
                <w:szCs w:val="20"/>
              </w:rPr>
              <w:t>Za dobu své existence (od roku 2013), i navzdory počáteční skepsi při zakládání této sítě, vzrostla důvěra švédských firem zapojených do této iniciativy v rozvojovou agenturu SIDA</w:t>
            </w:r>
            <w:r w:rsidRPr="00CE217B">
              <w:rPr>
                <w:rStyle w:val="Znakapoznpodarou"/>
                <w:i/>
                <w:iCs/>
                <w:sz w:val="20"/>
                <w:szCs w:val="20"/>
              </w:rPr>
              <w:footnoteReference w:id="4"/>
            </w:r>
            <w:r w:rsidRPr="00CE217B">
              <w:rPr>
                <w:sz w:val="20"/>
                <w:szCs w:val="20"/>
              </w:rPr>
              <w:t>, stejně jako zapojení firem do rozvojových projektů.</w:t>
            </w:r>
            <w:r w:rsidRPr="00CE217B">
              <w:rPr>
                <w:rStyle w:val="Znakapoznpodarou"/>
                <w:i/>
                <w:iCs/>
                <w:sz w:val="20"/>
                <w:szCs w:val="20"/>
              </w:rPr>
              <w:t xml:space="preserve"> </w:t>
            </w:r>
            <w:r w:rsidRPr="00CE217B">
              <w:rPr>
                <w:sz w:val="20"/>
                <w:szCs w:val="20"/>
              </w:rPr>
              <w:t>Důležitou roli v budování důvěry mezi soukromým sektorem a dalšími rozvojovými aktéry sehrává rozvojová agentura jako neutrální facilitátor, který vytváří prostor pro dialog mezi případnými realizátory rozvojové spolupráce.</w:t>
            </w:r>
            <w:r w:rsidRPr="00CE217B">
              <w:rPr>
                <w:rStyle w:val="Znakapoznpodarou"/>
                <w:sz w:val="20"/>
                <w:szCs w:val="20"/>
              </w:rPr>
              <w:footnoteReference w:id="5"/>
            </w:r>
            <w:r w:rsidRPr="00CE217B">
              <w:rPr>
                <w:sz w:val="20"/>
                <w:szCs w:val="20"/>
              </w:rPr>
              <w:t xml:space="preserve"> Podstatným prvkem je rovněž profesionalita SIDA a důraz na rovnocenné partnerství (např. workshopy pro účastníky nepořádá jen SIDA, ale i členské organizace – firmy)</w:t>
            </w:r>
          </w:p>
        </w:tc>
        <w:tc>
          <w:tcPr>
            <w:tcW w:w="1501" w:type="dxa"/>
          </w:tcPr>
          <w:p w14:paraId="0DFDE046" w14:textId="77777777" w:rsidR="00DA7E0D" w:rsidRPr="00CE217B" w:rsidRDefault="00DA7E0D" w:rsidP="00AD5FA3">
            <w:pPr>
              <w:rPr>
                <w:sz w:val="20"/>
                <w:szCs w:val="20"/>
              </w:rPr>
            </w:pPr>
            <w:r w:rsidRPr="00CE217B">
              <w:rPr>
                <w:sz w:val="20"/>
                <w:szCs w:val="20"/>
              </w:rPr>
              <w:lastRenderedPageBreak/>
              <w:t>Zvážit založení obdobné platformy při ČRA, která by iniciovala dialog a síťovala aktéry v rámci ZRS napříč sektory</w:t>
            </w:r>
            <w:r>
              <w:rPr>
                <w:sz w:val="20"/>
                <w:szCs w:val="20"/>
              </w:rPr>
              <w:t>.</w:t>
            </w:r>
            <w:r w:rsidRPr="00CE217B">
              <w:rPr>
                <w:sz w:val="20"/>
                <w:szCs w:val="20"/>
              </w:rPr>
              <w:t xml:space="preserve"> </w:t>
            </w:r>
          </w:p>
          <w:p w14:paraId="2BFF398E" w14:textId="77777777" w:rsidR="0071367E" w:rsidRDefault="0071367E" w:rsidP="00576785">
            <w:pPr>
              <w:spacing w:before="0" w:after="0"/>
              <w:rPr>
                <w:sz w:val="20"/>
                <w:szCs w:val="20"/>
              </w:rPr>
            </w:pPr>
          </w:p>
          <w:p w14:paraId="6FAA37DB" w14:textId="228AE0DD" w:rsidR="00DA7E0D" w:rsidRPr="00CE217B" w:rsidRDefault="00DA7E0D" w:rsidP="00AD5FA3">
            <w:pPr>
              <w:rPr>
                <w:sz w:val="20"/>
                <w:szCs w:val="20"/>
              </w:rPr>
            </w:pPr>
            <w:r w:rsidRPr="00CE217B">
              <w:rPr>
                <w:sz w:val="20"/>
                <w:szCs w:val="20"/>
              </w:rPr>
              <w:t xml:space="preserve">Neutrální role rozvojové </w:t>
            </w:r>
            <w:r w:rsidRPr="00CE217B">
              <w:rPr>
                <w:sz w:val="20"/>
                <w:szCs w:val="20"/>
              </w:rPr>
              <w:lastRenderedPageBreak/>
              <w:t>agentury/</w:t>
            </w:r>
            <w:r w:rsidR="00A26C01">
              <w:rPr>
                <w:sz w:val="20"/>
                <w:szCs w:val="20"/>
              </w:rPr>
              <w:t xml:space="preserve"> </w:t>
            </w:r>
            <w:r w:rsidRPr="00CE217B">
              <w:rPr>
                <w:sz w:val="20"/>
                <w:szCs w:val="20"/>
              </w:rPr>
              <w:t>ministerstva je pro budování důvěry mezi různými aktéry klíčová.</w:t>
            </w:r>
          </w:p>
        </w:tc>
      </w:tr>
      <w:tr w:rsidR="00DA7E0D" w:rsidRPr="00CE217B" w14:paraId="7BA0EF3E" w14:textId="77777777" w:rsidTr="00AD5FA3">
        <w:tc>
          <w:tcPr>
            <w:tcW w:w="749" w:type="dxa"/>
          </w:tcPr>
          <w:p w14:paraId="23F07663" w14:textId="77777777" w:rsidR="00DA7E0D" w:rsidRPr="00CE217B" w:rsidRDefault="00DA7E0D" w:rsidP="00AD5FA3">
            <w:pPr>
              <w:rPr>
                <w:b/>
                <w:bCs/>
                <w:sz w:val="20"/>
                <w:szCs w:val="20"/>
              </w:rPr>
            </w:pPr>
            <w:r w:rsidRPr="00CE217B">
              <w:rPr>
                <w:b/>
                <w:bCs/>
                <w:sz w:val="20"/>
                <w:szCs w:val="20"/>
              </w:rPr>
              <w:lastRenderedPageBreak/>
              <w:t>Německo</w:t>
            </w:r>
          </w:p>
        </w:tc>
        <w:tc>
          <w:tcPr>
            <w:tcW w:w="1777" w:type="dxa"/>
          </w:tcPr>
          <w:p w14:paraId="5AFA6724" w14:textId="7A57AB12" w:rsidR="00DA7E0D" w:rsidRPr="00CE217B" w:rsidRDefault="00DA7E0D" w:rsidP="00AD5FA3">
            <w:pPr>
              <w:rPr>
                <w:i/>
                <w:iCs/>
                <w:sz w:val="20"/>
                <w:szCs w:val="20"/>
              </w:rPr>
            </w:pPr>
            <w:proofErr w:type="spellStart"/>
            <w:r w:rsidRPr="00CE217B">
              <w:rPr>
                <w:i/>
                <w:iCs/>
                <w:sz w:val="20"/>
                <w:szCs w:val="20"/>
              </w:rPr>
              <w:t>Capacity</w:t>
            </w:r>
            <w:proofErr w:type="spellEnd"/>
            <w:r w:rsidRPr="00CE217B">
              <w:rPr>
                <w:i/>
                <w:iCs/>
                <w:sz w:val="20"/>
                <w:szCs w:val="20"/>
              </w:rPr>
              <w:t xml:space="preserve"> Development </w:t>
            </w:r>
            <w:proofErr w:type="spellStart"/>
            <w:r w:rsidRPr="00CE217B">
              <w:rPr>
                <w:i/>
                <w:iCs/>
                <w:sz w:val="20"/>
                <w:szCs w:val="20"/>
              </w:rPr>
              <w:t>for</w:t>
            </w:r>
            <w:proofErr w:type="spellEnd"/>
            <w:r w:rsidRPr="00CE217B">
              <w:rPr>
                <w:i/>
                <w:iCs/>
                <w:sz w:val="20"/>
                <w:szCs w:val="20"/>
              </w:rPr>
              <w:t xml:space="preserve"> </w:t>
            </w:r>
            <w:proofErr w:type="spellStart"/>
            <w:r w:rsidRPr="00CE217B">
              <w:rPr>
                <w:i/>
                <w:iCs/>
                <w:sz w:val="20"/>
                <w:szCs w:val="20"/>
              </w:rPr>
              <w:t>Partnership</w:t>
            </w:r>
            <w:proofErr w:type="spellEnd"/>
            <w:r w:rsidRPr="00CE217B">
              <w:rPr>
                <w:i/>
                <w:iCs/>
                <w:sz w:val="20"/>
                <w:szCs w:val="20"/>
              </w:rPr>
              <w:t xml:space="preserve"> </w:t>
            </w:r>
            <w:proofErr w:type="spellStart"/>
            <w:r w:rsidRPr="00CE217B">
              <w:rPr>
                <w:i/>
                <w:iCs/>
                <w:sz w:val="20"/>
                <w:szCs w:val="20"/>
              </w:rPr>
              <w:t>with</w:t>
            </w:r>
            <w:proofErr w:type="spellEnd"/>
            <w:r w:rsidRPr="00CE217B">
              <w:rPr>
                <w:i/>
                <w:iCs/>
                <w:sz w:val="20"/>
                <w:szCs w:val="20"/>
              </w:rPr>
              <w:t xml:space="preserve"> </w:t>
            </w:r>
            <w:proofErr w:type="spellStart"/>
            <w:r w:rsidRPr="00CE217B">
              <w:rPr>
                <w:i/>
                <w:iCs/>
                <w:sz w:val="20"/>
                <w:szCs w:val="20"/>
              </w:rPr>
              <w:t>the</w:t>
            </w:r>
            <w:proofErr w:type="spellEnd"/>
            <w:r w:rsidRPr="00CE217B">
              <w:rPr>
                <w:i/>
                <w:iCs/>
                <w:sz w:val="20"/>
                <w:szCs w:val="20"/>
              </w:rPr>
              <w:t xml:space="preserve"> </w:t>
            </w:r>
            <w:proofErr w:type="spellStart"/>
            <w:r w:rsidRPr="00CE217B">
              <w:rPr>
                <w:i/>
                <w:iCs/>
                <w:sz w:val="20"/>
                <w:szCs w:val="20"/>
              </w:rPr>
              <w:t>Private</w:t>
            </w:r>
            <w:proofErr w:type="spellEnd"/>
            <w:r w:rsidRPr="00CE217B">
              <w:rPr>
                <w:i/>
                <w:iCs/>
                <w:sz w:val="20"/>
                <w:szCs w:val="20"/>
              </w:rPr>
              <w:t xml:space="preserve"> </w:t>
            </w:r>
            <w:proofErr w:type="spellStart"/>
            <w:r w:rsidRPr="00CE217B">
              <w:rPr>
                <w:i/>
                <w:iCs/>
                <w:sz w:val="20"/>
                <w:szCs w:val="20"/>
              </w:rPr>
              <w:t>Sector</w:t>
            </w:r>
            <w:proofErr w:type="spellEnd"/>
            <w:r w:rsidRPr="00CE217B">
              <w:rPr>
                <w:i/>
                <w:iCs/>
                <w:sz w:val="20"/>
                <w:szCs w:val="20"/>
              </w:rPr>
              <w:t xml:space="preserve"> (CDP)</w:t>
            </w:r>
            <w:r w:rsidRPr="00CE217B">
              <w:rPr>
                <w:rStyle w:val="Znakapoznpodarou"/>
                <w:i/>
                <w:iCs/>
                <w:sz w:val="20"/>
                <w:szCs w:val="20"/>
              </w:rPr>
              <w:footnoteReference w:id="6"/>
            </w:r>
          </w:p>
          <w:p w14:paraId="5959A8FE" w14:textId="77777777" w:rsidR="00DA7E0D" w:rsidRPr="00CE217B" w:rsidRDefault="00DA7E0D" w:rsidP="00AD5FA3">
            <w:pPr>
              <w:rPr>
                <w:i/>
                <w:iCs/>
                <w:sz w:val="20"/>
                <w:szCs w:val="20"/>
              </w:rPr>
            </w:pPr>
          </w:p>
          <w:p w14:paraId="5FB4F1A9" w14:textId="77777777" w:rsidR="00DA7E0D" w:rsidRPr="00CE217B" w:rsidRDefault="00DA7E0D" w:rsidP="00AD5FA3">
            <w:pPr>
              <w:rPr>
                <w:i/>
                <w:iCs/>
                <w:sz w:val="20"/>
                <w:szCs w:val="20"/>
              </w:rPr>
            </w:pPr>
          </w:p>
          <w:p w14:paraId="3BA7D4FC" w14:textId="2D324F42" w:rsidR="00DA7E0D" w:rsidRPr="00CE217B" w:rsidRDefault="00DA7E0D" w:rsidP="007161F3">
            <w:pPr>
              <w:keepNext/>
              <w:spacing w:after="0"/>
              <w:rPr>
                <w:sz w:val="20"/>
                <w:szCs w:val="20"/>
              </w:rPr>
            </w:pPr>
            <w:r w:rsidRPr="00CE217B">
              <w:rPr>
                <w:sz w:val="20"/>
                <w:szCs w:val="20"/>
              </w:rPr>
              <w:t>Dobrá praxe</w:t>
            </w:r>
            <w:r w:rsidR="007161F3">
              <w:rPr>
                <w:sz w:val="20"/>
                <w:szCs w:val="20"/>
              </w:rPr>
              <w:t>:</w:t>
            </w:r>
          </w:p>
          <w:p w14:paraId="30A2934D" w14:textId="77777777" w:rsidR="00DA7E0D" w:rsidRPr="00CE217B" w:rsidRDefault="00DA7E0D" w:rsidP="00AD5FA3">
            <w:pPr>
              <w:rPr>
                <w:i/>
                <w:iCs/>
                <w:sz w:val="20"/>
                <w:szCs w:val="20"/>
              </w:rPr>
            </w:pPr>
            <w:r w:rsidRPr="00CE217B">
              <w:rPr>
                <w:b/>
                <w:bCs/>
                <w:sz w:val="18"/>
                <w:szCs w:val="18"/>
              </w:rPr>
              <w:t>komplexní poradenství ve všech fázích vzniku partnerství, vč. implementace projektu, databáze potenciálních partnerů a síťování nejen v </w:t>
            </w:r>
            <w:proofErr w:type="spellStart"/>
            <w:r w:rsidRPr="00CE217B">
              <w:rPr>
                <w:b/>
                <w:bCs/>
                <w:sz w:val="18"/>
                <w:szCs w:val="18"/>
              </w:rPr>
              <w:t>donorské</w:t>
            </w:r>
            <w:proofErr w:type="spellEnd"/>
            <w:r w:rsidRPr="00CE217B">
              <w:rPr>
                <w:b/>
                <w:bCs/>
                <w:sz w:val="18"/>
                <w:szCs w:val="18"/>
              </w:rPr>
              <w:t>, ale i partnerské zemi</w:t>
            </w:r>
          </w:p>
        </w:tc>
        <w:tc>
          <w:tcPr>
            <w:tcW w:w="4989" w:type="dxa"/>
          </w:tcPr>
          <w:p w14:paraId="67F9BCF3" w14:textId="77777777" w:rsidR="00DA7E0D" w:rsidRPr="00CE217B" w:rsidRDefault="00DA7E0D" w:rsidP="00AD5FA3">
            <w:pPr>
              <w:pStyle w:val="Normlnweb"/>
              <w:shd w:val="clear" w:color="auto" w:fill="FFFFFF"/>
              <w:rPr>
                <w:sz w:val="20"/>
                <w:szCs w:val="20"/>
              </w:rPr>
            </w:pPr>
            <w:r w:rsidRPr="00CE217B">
              <w:rPr>
                <w:sz w:val="20"/>
                <w:szCs w:val="20"/>
              </w:rPr>
              <w:t xml:space="preserve">CDP je konzultační servis nabízený německou rozvojovou agenturou GIZ, jehož cílem je podporovat partnerské instituce v kooperaci se soukromým sektorem v oblasti rozvojové spolupráce sdílením dobré praxe či odborným poradenstvím. </w:t>
            </w:r>
          </w:p>
          <w:p w14:paraId="72D29728" w14:textId="77777777" w:rsidR="00DA7E0D" w:rsidRPr="00CE217B" w:rsidRDefault="00DA7E0D" w:rsidP="00AD5FA3">
            <w:pPr>
              <w:pStyle w:val="Normlnweb"/>
              <w:shd w:val="clear" w:color="auto" w:fill="FFFFFF"/>
              <w:rPr>
                <w:sz w:val="20"/>
                <w:szCs w:val="20"/>
              </w:rPr>
            </w:pPr>
            <w:r w:rsidRPr="00CE217B">
              <w:rPr>
                <w:sz w:val="20"/>
                <w:szCs w:val="20"/>
              </w:rPr>
              <w:t xml:space="preserve">Tým konzultačního servisu pořádá workshopy zaměřené na benefity kooperace se soukromým sektorem, pomáhá s přípravou kontraktů mezi partnery, facilitací iniciačních rozhovorů a kulatých stolů či strategickým plánováním. V případě </w:t>
            </w:r>
            <w:r w:rsidRPr="00CE217B">
              <w:rPr>
                <w:i/>
                <w:iCs/>
                <w:sz w:val="20"/>
                <w:szCs w:val="20"/>
              </w:rPr>
              <w:t>public-</w:t>
            </w:r>
            <w:proofErr w:type="spellStart"/>
            <w:r w:rsidRPr="00CE217B">
              <w:rPr>
                <w:i/>
                <w:iCs/>
                <w:sz w:val="20"/>
                <w:szCs w:val="20"/>
              </w:rPr>
              <w:t>private</w:t>
            </w:r>
            <w:proofErr w:type="spellEnd"/>
            <w:r w:rsidRPr="00CE217B">
              <w:rPr>
                <w:i/>
                <w:iCs/>
                <w:sz w:val="20"/>
                <w:szCs w:val="20"/>
              </w:rPr>
              <w:t xml:space="preserve"> </w:t>
            </w:r>
            <w:proofErr w:type="spellStart"/>
            <w:r w:rsidRPr="00CE217B">
              <w:rPr>
                <w:i/>
                <w:iCs/>
                <w:sz w:val="20"/>
                <w:szCs w:val="20"/>
              </w:rPr>
              <w:t>partnership</w:t>
            </w:r>
            <w:proofErr w:type="spellEnd"/>
            <w:r w:rsidRPr="00CE217B">
              <w:rPr>
                <w:sz w:val="20"/>
                <w:szCs w:val="20"/>
              </w:rPr>
              <w:t xml:space="preserve"> projektů slouží jako </w:t>
            </w:r>
            <w:r w:rsidRPr="00CE217B">
              <w:rPr>
                <w:i/>
                <w:iCs/>
                <w:sz w:val="20"/>
                <w:szCs w:val="20"/>
              </w:rPr>
              <w:t>broker</w:t>
            </w:r>
            <w:r w:rsidRPr="00CE217B">
              <w:rPr>
                <w:sz w:val="20"/>
                <w:szCs w:val="20"/>
              </w:rPr>
              <w:t xml:space="preserve"> jak na </w:t>
            </w:r>
            <w:proofErr w:type="spellStart"/>
            <w:r w:rsidRPr="00CE217B">
              <w:rPr>
                <w:sz w:val="20"/>
                <w:szCs w:val="20"/>
              </w:rPr>
              <w:t>policy</w:t>
            </w:r>
            <w:proofErr w:type="spellEnd"/>
            <w:r w:rsidRPr="00CE217B">
              <w:rPr>
                <w:sz w:val="20"/>
                <w:szCs w:val="20"/>
              </w:rPr>
              <w:t xml:space="preserve"> úrovni (např. analýza právního prostředí v partnerské zemi), tak institucionální (např. propojování investorů s institucemi v partnerských zemích) a projektové úrovni (např. zajišťování technické podpory během implementace rozvojových </w:t>
            </w:r>
            <w:r w:rsidRPr="00CE217B">
              <w:rPr>
                <w:i/>
                <w:iCs/>
                <w:sz w:val="20"/>
                <w:szCs w:val="20"/>
              </w:rPr>
              <w:t>public-</w:t>
            </w:r>
            <w:proofErr w:type="spellStart"/>
            <w:r w:rsidRPr="00CE217B">
              <w:rPr>
                <w:i/>
                <w:iCs/>
                <w:sz w:val="20"/>
                <w:szCs w:val="20"/>
              </w:rPr>
              <w:t>private</w:t>
            </w:r>
            <w:proofErr w:type="spellEnd"/>
            <w:r w:rsidRPr="00CE217B">
              <w:rPr>
                <w:i/>
                <w:iCs/>
                <w:sz w:val="20"/>
                <w:szCs w:val="20"/>
              </w:rPr>
              <w:t xml:space="preserve"> </w:t>
            </w:r>
            <w:proofErr w:type="spellStart"/>
            <w:r w:rsidRPr="00CE217B">
              <w:rPr>
                <w:i/>
                <w:iCs/>
                <w:sz w:val="20"/>
                <w:szCs w:val="20"/>
              </w:rPr>
              <w:t>partnership</w:t>
            </w:r>
            <w:proofErr w:type="spellEnd"/>
            <w:r w:rsidRPr="00CE217B">
              <w:rPr>
                <w:sz w:val="20"/>
                <w:szCs w:val="20"/>
              </w:rPr>
              <w:t xml:space="preserve"> projektů). </w:t>
            </w:r>
          </w:p>
          <w:p w14:paraId="13FDD46B" w14:textId="77777777" w:rsidR="00DA7E0D" w:rsidRPr="00CE217B" w:rsidRDefault="00DA7E0D" w:rsidP="00AD5FA3">
            <w:pPr>
              <w:pStyle w:val="Normlnweb"/>
              <w:shd w:val="clear" w:color="auto" w:fill="FFFFFF"/>
              <w:rPr>
                <w:sz w:val="20"/>
                <w:szCs w:val="20"/>
              </w:rPr>
            </w:pPr>
            <w:r w:rsidRPr="00CE217B">
              <w:rPr>
                <w:sz w:val="20"/>
                <w:szCs w:val="20"/>
              </w:rPr>
              <w:t>Zároveň tento nástroj zahrnuje komplexní poradenství ve všech fázích vzniku partnerství, vč. implementace projektu, databáze potenciálních partnerů a síťování nejen v </w:t>
            </w:r>
            <w:proofErr w:type="spellStart"/>
            <w:r w:rsidRPr="00CE217B">
              <w:rPr>
                <w:sz w:val="20"/>
                <w:szCs w:val="20"/>
              </w:rPr>
              <w:t>donorské</w:t>
            </w:r>
            <w:proofErr w:type="spellEnd"/>
            <w:r w:rsidRPr="00CE217B">
              <w:rPr>
                <w:sz w:val="20"/>
                <w:szCs w:val="20"/>
              </w:rPr>
              <w:t>, ale i partnerské zemi.</w:t>
            </w:r>
          </w:p>
        </w:tc>
        <w:tc>
          <w:tcPr>
            <w:tcW w:w="1501" w:type="dxa"/>
          </w:tcPr>
          <w:p w14:paraId="0BCABC28" w14:textId="104ADBEF" w:rsidR="00DA7E0D" w:rsidRPr="00CE217B" w:rsidRDefault="00DA7E0D" w:rsidP="00AD5FA3">
            <w:pPr>
              <w:rPr>
                <w:sz w:val="20"/>
                <w:szCs w:val="20"/>
              </w:rPr>
            </w:pPr>
            <w:r w:rsidRPr="00CE217B">
              <w:rPr>
                <w:sz w:val="20"/>
                <w:szCs w:val="20"/>
              </w:rPr>
              <w:t>Zavést pozici v rámci ČRA, která bude poskytovat poradenský servis a proaktivně propojovat potenciální partnery nejen z ČR, ale i z partnerských zemích</w:t>
            </w:r>
            <w:r>
              <w:rPr>
                <w:sz w:val="20"/>
                <w:szCs w:val="20"/>
              </w:rPr>
              <w:t>.</w:t>
            </w:r>
          </w:p>
        </w:tc>
      </w:tr>
      <w:tr w:rsidR="00DA7E0D" w:rsidRPr="00CE217B" w14:paraId="190FA54C" w14:textId="77777777" w:rsidTr="00AD5FA3">
        <w:tc>
          <w:tcPr>
            <w:tcW w:w="749" w:type="dxa"/>
          </w:tcPr>
          <w:p w14:paraId="68071DE0" w14:textId="77777777" w:rsidR="00DA7E0D" w:rsidRPr="00CE217B" w:rsidRDefault="00DA7E0D" w:rsidP="00AD5FA3">
            <w:pPr>
              <w:rPr>
                <w:b/>
                <w:bCs/>
                <w:sz w:val="20"/>
                <w:szCs w:val="20"/>
              </w:rPr>
            </w:pPr>
            <w:r w:rsidRPr="00CE217B">
              <w:rPr>
                <w:b/>
                <w:bCs/>
                <w:sz w:val="20"/>
                <w:szCs w:val="20"/>
              </w:rPr>
              <w:t>Dánsko</w:t>
            </w:r>
          </w:p>
        </w:tc>
        <w:tc>
          <w:tcPr>
            <w:tcW w:w="1777" w:type="dxa"/>
          </w:tcPr>
          <w:p w14:paraId="7411FA0E" w14:textId="77777777" w:rsidR="00DA7E0D" w:rsidRPr="00CE217B" w:rsidRDefault="00DA7E0D" w:rsidP="00AD5FA3">
            <w:pPr>
              <w:rPr>
                <w:sz w:val="20"/>
                <w:szCs w:val="20"/>
              </w:rPr>
            </w:pPr>
            <w:proofErr w:type="spellStart"/>
            <w:r w:rsidRPr="00CE217B">
              <w:rPr>
                <w:i/>
                <w:iCs/>
                <w:sz w:val="20"/>
                <w:szCs w:val="20"/>
              </w:rPr>
              <w:t>Danida</w:t>
            </w:r>
            <w:proofErr w:type="spellEnd"/>
            <w:r w:rsidRPr="00CE217B">
              <w:rPr>
                <w:i/>
                <w:iCs/>
                <w:sz w:val="20"/>
                <w:szCs w:val="20"/>
              </w:rPr>
              <w:t xml:space="preserve"> Market Development </w:t>
            </w:r>
            <w:bookmarkStart w:id="42" w:name="_Hlk75188017"/>
            <w:proofErr w:type="spellStart"/>
            <w:r w:rsidRPr="00CE217B">
              <w:rPr>
                <w:i/>
                <w:iCs/>
                <w:sz w:val="20"/>
                <w:szCs w:val="20"/>
              </w:rPr>
              <w:t>Partnership</w:t>
            </w:r>
            <w:proofErr w:type="spellEnd"/>
            <w:r w:rsidRPr="00CE217B">
              <w:rPr>
                <w:i/>
                <w:iCs/>
                <w:sz w:val="20"/>
                <w:szCs w:val="20"/>
              </w:rPr>
              <w:t xml:space="preserve"> Program</w:t>
            </w:r>
            <w:r w:rsidRPr="00CE217B">
              <w:rPr>
                <w:sz w:val="20"/>
                <w:szCs w:val="20"/>
              </w:rPr>
              <w:t xml:space="preserve"> </w:t>
            </w:r>
            <w:bookmarkEnd w:id="42"/>
            <w:r w:rsidRPr="00CE217B">
              <w:rPr>
                <w:sz w:val="20"/>
                <w:szCs w:val="20"/>
              </w:rPr>
              <w:t>(DMDP)</w:t>
            </w:r>
            <w:r w:rsidRPr="00CE217B">
              <w:rPr>
                <w:rStyle w:val="Znakapoznpodarou"/>
                <w:sz w:val="20"/>
                <w:szCs w:val="20"/>
              </w:rPr>
              <w:footnoteReference w:id="7"/>
            </w:r>
          </w:p>
          <w:p w14:paraId="70B2E990" w14:textId="77777777" w:rsidR="00DA7E0D" w:rsidRPr="00CE217B" w:rsidRDefault="00DA7E0D" w:rsidP="00AD5FA3">
            <w:pPr>
              <w:rPr>
                <w:sz w:val="20"/>
                <w:szCs w:val="20"/>
              </w:rPr>
            </w:pPr>
          </w:p>
          <w:p w14:paraId="1AB72A88" w14:textId="77777777" w:rsidR="00DA7E0D" w:rsidRPr="00CE217B" w:rsidRDefault="00DA7E0D" w:rsidP="00AD5FA3">
            <w:pPr>
              <w:rPr>
                <w:sz w:val="20"/>
                <w:szCs w:val="20"/>
              </w:rPr>
            </w:pPr>
          </w:p>
          <w:p w14:paraId="7FE76890" w14:textId="77777777" w:rsidR="00DA7E0D" w:rsidRPr="00CE217B" w:rsidRDefault="00DA7E0D" w:rsidP="00AD5FA3">
            <w:pPr>
              <w:rPr>
                <w:sz w:val="20"/>
                <w:szCs w:val="20"/>
              </w:rPr>
            </w:pPr>
          </w:p>
          <w:p w14:paraId="6BA34F40" w14:textId="77777777" w:rsidR="00DA7E0D" w:rsidRPr="00CE217B" w:rsidRDefault="00DA7E0D" w:rsidP="00AD5FA3">
            <w:pPr>
              <w:rPr>
                <w:sz w:val="20"/>
                <w:szCs w:val="20"/>
              </w:rPr>
            </w:pPr>
          </w:p>
          <w:p w14:paraId="73243CAA" w14:textId="77777777" w:rsidR="00DA7E0D" w:rsidRPr="00CE217B" w:rsidRDefault="00DA7E0D" w:rsidP="00AD5FA3">
            <w:pPr>
              <w:rPr>
                <w:sz w:val="20"/>
                <w:szCs w:val="20"/>
              </w:rPr>
            </w:pPr>
          </w:p>
          <w:p w14:paraId="5FE066AE" w14:textId="77777777" w:rsidR="007161F3" w:rsidRPr="00CE217B" w:rsidRDefault="007161F3" w:rsidP="007161F3">
            <w:pPr>
              <w:keepNext/>
              <w:spacing w:after="0"/>
              <w:rPr>
                <w:sz w:val="20"/>
                <w:szCs w:val="20"/>
              </w:rPr>
            </w:pPr>
            <w:r w:rsidRPr="00CE217B">
              <w:rPr>
                <w:sz w:val="20"/>
                <w:szCs w:val="20"/>
              </w:rPr>
              <w:lastRenderedPageBreak/>
              <w:t>Dobrá praxe</w:t>
            </w:r>
            <w:r>
              <w:rPr>
                <w:sz w:val="20"/>
                <w:szCs w:val="20"/>
              </w:rPr>
              <w:t>:</w:t>
            </w:r>
          </w:p>
          <w:p w14:paraId="163D6A05" w14:textId="15895526" w:rsidR="00DA7E0D" w:rsidRPr="00CE217B" w:rsidRDefault="00DA7E0D" w:rsidP="00AD5FA3">
            <w:pPr>
              <w:rPr>
                <w:sz w:val="20"/>
                <w:szCs w:val="20"/>
              </w:rPr>
            </w:pPr>
            <w:r w:rsidRPr="00CE217B">
              <w:rPr>
                <w:b/>
                <w:bCs/>
                <w:sz w:val="18"/>
                <w:szCs w:val="18"/>
              </w:rPr>
              <w:t>nízká administrativní náročnost zvyšující atraktivitu programu zejména pro soukromý sektor, finanční podpora a odborná konzultace během psaní žádosti/</w:t>
            </w:r>
            <w:r w:rsidR="000462CD">
              <w:rPr>
                <w:b/>
                <w:bCs/>
                <w:sz w:val="18"/>
                <w:szCs w:val="18"/>
              </w:rPr>
              <w:t xml:space="preserve"> </w:t>
            </w:r>
            <w:r w:rsidRPr="00CE217B">
              <w:rPr>
                <w:b/>
                <w:bCs/>
                <w:sz w:val="18"/>
                <w:szCs w:val="18"/>
              </w:rPr>
              <w:t>designování projektu, peer learning po implementaci, nutnost zahrnout organizaci z partnerské země</w:t>
            </w:r>
          </w:p>
        </w:tc>
        <w:tc>
          <w:tcPr>
            <w:tcW w:w="4989" w:type="dxa"/>
          </w:tcPr>
          <w:p w14:paraId="5161B199" w14:textId="22E4262F" w:rsidR="00DA7E0D" w:rsidRPr="00CE217B" w:rsidRDefault="00DA7E0D" w:rsidP="00AD5FA3">
            <w:pPr>
              <w:rPr>
                <w:sz w:val="20"/>
                <w:szCs w:val="20"/>
              </w:rPr>
            </w:pPr>
            <w:r w:rsidRPr="00CE217B">
              <w:rPr>
                <w:sz w:val="20"/>
                <w:szCs w:val="20"/>
              </w:rPr>
              <w:lastRenderedPageBreak/>
              <w:t>DMDP je</w:t>
            </w:r>
            <w:r w:rsidRPr="00CE217B">
              <w:rPr>
                <w:i/>
                <w:iCs/>
                <w:sz w:val="20"/>
                <w:szCs w:val="20"/>
              </w:rPr>
              <w:t xml:space="preserve"> </w:t>
            </w:r>
            <w:proofErr w:type="spellStart"/>
            <w:r w:rsidRPr="00CE217B">
              <w:rPr>
                <w:i/>
                <w:iCs/>
                <w:sz w:val="20"/>
                <w:szCs w:val="20"/>
              </w:rPr>
              <w:t>challenge</w:t>
            </w:r>
            <w:proofErr w:type="spellEnd"/>
            <w:r w:rsidRPr="00CE217B">
              <w:rPr>
                <w:i/>
                <w:iCs/>
                <w:sz w:val="20"/>
                <w:szCs w:val="20"/>
              </w:rPr>
              <w:t xml:space="preserve"> </w:t>
            </w:r>
            <w:proofErr w:type="spellStart"/>
            <w:r w:rsidRPr="00CE217B">
              <w:rPr>
                <w:i/>
                <w:iCs/>
                <w:sz w:val="20"/>
                <w:szCs w:val="20"/>
              </w:rPr>
              <w:t>fund</w:t>
            </w:r>
            <w:proofErr w:type="spellEnd"/>
            <w:r w:rsidRPr="00CE217B">
              <w:rPr>
                <w:i/>
                <w:iCs/>
                <w:sz w:val="20"/>
                <w:szCs w:val="20"/>
              </w:rPr>
              <w:t xml:space="preserve"> </w:t>
            </w:r>
            <w:r w:rsidRPr="00CE217B">
              <w:rPr>
                <w:sz w:val="20"/>
                <w:szCs w:val="20"/>
              </w:rPr>
              <w:t>administrov</w:t>
            </w:r>
            <w:r>
              <w:rPr>
                <w:sz w:val="20"/>
                <w:szCs w:val="20"/>
              </w:rPr>
              <w:t>a</w:t>
            </w:r>
            <w:r w:rsidRPr="00CE217B">
              <w:rPr>
                <w:sz w:val="20"/>
                <w:szCs w:val="20"/>
              </w:rPr>
              <w:t>n</w:t>
            </w:r>
            <w:r>
              <w:rPr>
                <w:sz w:val="20"/>
                <w:szCs w:val="20"/>
              </w:rPr>
              <w:t>ý</w:t>
            </w:r>
            <w:r w:rsidRPr="00CE217B">
              <w:rPr>
                <w:sz w:val="20"/>
                <w:szCs w:val="20"/>
              </w:rPr>
              <w:t xml:space="preserve"> dánským ministerstvem zahraničí, jehož cílem je podporovat komerčně orientované partnerství mezi aktéry nejen ze soukromého a neziskového sektoru, ale i akademických a vládních institucí, jejichž cílem je přispět k udržitelnému rozvoji v partnerských zemích.</w:t>
            </w:r>
          </w:p>
          <w:p w14:paraId="5D3D8B6D" w14:textId="2599A20E" w:rsidR="00DA7E0D" w:rsidRPr="00CE217B" w:rsidRDefault="00DA7E0D" w:rsidP="00AD5FA3">
            <w:pPr>
              <w:rPr>
                <w:sz w:val="20"/>
                <w:szCs w:val="20"/>
              </w:rPr>
            </w:pPr>
            <w:r w:rsidRPr="00CE217B">
              <w:rPr>
                <w:sz w:val="20"/>
                <w:szCs w:val="20"/>
              </w:rPr>
              <w:t xml:space="preserve">Žádosti o podporu (v maximální výši 75 % očekávaných nákladů) v rámci tohoto programu jsou kvůli snížení administrativní náročnosti podávány ve dvou kolech – v prvním kole jsou na základě odevzdaných </w:t>
            </w:r>
            <w:proofErr w:type="spellStart"/>
            <w:r w:rsidRPr="00CE217B">
              <w:rPr>
                <w:i/>
                <w:iCs/>
                <w:sz w:val="20"/>
                <w:szCs w:val="20"/>
              </w:rPr>
              <w:t>concept</w:t>
            </w:r>
            <w:proofErr w:type="spellEnd"/>
            <w:r w:rsidRPr="00CE217B">
              <w:rPr>
                <w:i/>
                <w:iCs/>
                <w:sz w:val="20"/>
                <w:szCs w:val="20"/>
              </w:rPr>
              <w:t xml:space="preserve"> notes</w:t>
            </w:r>
            <w:r w:rsidRPr="00CE217B">
              <w:rPr>
                <w:sz w:val="20"/>
                <w:szCs w:val="20"/>
              </w:rPr>
              <w:t xml:space="preserve"> vybráni úspěšní žadatelé, kteří jsou dále finančně podpořeni, aby (obvykle po dobu 5-6 měsíců) v rámci vzniklého konsorcia pracovali na plné projektové žádosti. Během této doby je žadatelům nabízena konzultace s relevantními zaměstnanci ministerstva zahraničí a najatými externími </w:t>
            </w:r>
            <w:r w:rsidRPr="00CE217B">
              <w:rPr>
                <w:sz w:val="20"/>
                <w:szCs w:val="20"/>
              </w:rPr>
              <w:lastRenderedPageBreak/>
              <w:t>poradci na danou oblast jejich zájmu, aby design projektu co nejvíce odpovídal rozvojovým cílům. Pro úspěšné žadatele jsou následně, během a po realizaci projektů, pořádány workshopy k sdílení dobré praxe, diskusi o výzvách rozvojových partnerstvích apod.</w:t>
            </w:r>
          </w:p>
          <w:p w14:paraId="1D1ACE22" w14:textId="77777777" w:rsidR="00DA7E0D" w:rsidRPr="00CE217B" w:rsidRDefault="00DA7E0D" w:rsidP="00AD5FA3">
            <w:pPr>
              <w:rPr>
                <w:sz w:val="20"/>
                <w:szCs w:val="20"/>
              </w:rPr>
            </w:pPr>
            <w:r w:rsidRPr="00CE217B">
              <w:rPr>
                <w:sz w:val="20"/>
                <w:szCs w:val="20"/>
              </w:rPr>
              <w:t xml:space="preserve">Podmínkou podání žádosti v prvním kole je povinnost zahrnout jak aktéra ze soukromého sektoru, tak </w:t>
            </w:r>
            <w:r w:rsidRPr="00CE217B">
              <w:rPr>
                <w:i/>
                <w:iCs/>
                <w:sz w:val="20"/>
                <w:szCs w:val="20"/>
              </w:rPr>
              <w:t>nekomerčního aktéra</w:t>
            </w:r>
            <w:r w:rsidRPr="00CE217B">
              <w:rPr>
                <w:sz w:val="20"/>
                <w:szCs w:val="20"/>
              </w:rPr>
              <w:t xml:space="preserve"> – tím může být nejen nezisková organizace, ale i odborová organizace, která je zpravidla hlavním administrátorem projektu. V druhém kole je již potřeba zahrnout mezi partnery projektu i lokální organizaci. </w:t>
            </w:r>
          </w:p>
        </w:tc>
        <w:tc>
          <w:tcPr>
            <w:tcW w:w="1501" w:type="dxa"/>
          </w:tcPr>
          <w:p w14:paraId="6E792A8F" w14:textId="11EAC9C8" w:rsidR="00DA7E0D" w:rsidRPr="00CE217B" w:rsidRDefault="00DA7E0D" w:rsidP="00AD5FA3">
            <w:pPr>
              <w:rPr>
                <w:sz w:val="20"/>
                <w:szCs w:val="20"/>
              </w:rPr>
            </w:pPr>
            <w:r w:rsidRPr="00CE217B">
              <w:rPr>
                <w:sz w:val="20"/>
                <w:szCs w:val="20"/>
              </w:rPr>
              <w:lastRenderedPageBreak/>
              <w:t>U programů orientovaných na podporu spolupráce soukromého sektoru a dalších sek</w:t>
            </w:r>
            <w:r>
              <w:rPr>
                <w:sz w:val="20"/>
                <w:szCs w:val="20"/>
              </w:rPr>
              <w:t>to</w:t>
            </w:r>
            <w:r w:rsidRPr="00CE217B">
              <w:rPr>
                <w:sz w:val="20"/>
                <w:szCs w:val="20"/>
              </w:rPr>
              <w:t xml:space="preserve">rů zavést vícestupňový příjem žádostí o finanční podporu (a tím snížit administrativní náročnost celého procesu </w:t>
            </w:r>
            <w:r w:rsidRPr="00CE217B">
              <w:rPr>
                <w:sz w:val="20"/>
                <w:szCs w:val="20"/>
              </w:rPr>
              <w:lastRenderedPageBreak/>
              <w:t>jak pro samotné žadatele, tak administrátory programu/ů)</w:t>
            </w:r>
            <w:r>
              <w:rPr>
                <w:sz w:val="20"/>
                <w:szCs w:val="20"/>
              </w:rPr>
              <w:t>.</w:t>
            </w:r>
          </w:p>
          <w:p w14:paraId="3962A98F" w14:textId="2EC00C8D" w:rsidR="00DA7E0D" w:rsidRPr="00CE217B" w:rsidRDefault="00DA7E0D" w:rsidP="00AD5FA3">
            <w:pPr>
              <w:rPr>
                <w:sz w:val="20"/>
                <w:szCs w:val="20"/>
              </w:rPr>
            </w:pPr>
            <w:r w:rsidRPr="00CE217B">
              <w:rPr>
                <w:sz w:val="20"/>
                <w:szCs w:val="20"/>
              </w:rPr>
              <w:t xml:space="preserve">Zvážit </w:t>
            </w:r>
            <w:r w:rsidR="000462CD">
              <w:rPr>
                <w:sz w:val="20"/>
                <w:szCs w:val="20"/>
              </w:rPr>
              <w:t xml:space="preserve">zavedení </w:t>
            </w:r>
            <w:r w:rsidRPr="00CE217B">
              <w:rPr>
                <w:sz w:val="20"/>
                <w:szCs w:val="20"/>
              </w:rPr>
              <w:t>podmínk</w:t>
            </w:r>
            <w:r w:rsidR="000462CD">
              <w:rPr>
                <w:sz w:val="20"/>
                <w:szCs w:val="20"/>
              </w:rPr>
              <w:t>y</w:t>
            </w:r>
            <w:r w:rsidRPr="00CE217B">
              <w:rPr>
                <w:sz w:val="20"/>
                <w:szCs w:val="20"/>
              </w:rPr>
              <w:t xml:space="preserve"> účasti partnerů jak ze soukromého, tak neziskového sektoru, stejně jako z partnerské země. Případně zpočátku existence programu na podporu spolupráce různých sektorů tato partnerství v hodnot</w:t>
            </w:r>
            <w:r>
              <w:rPr>
                <w:sz w:val="20"/>
                <w:szCs w:val="20"/>
              </w:rPr>
              <w:t>i</w:t>
            </w:r>
            <w:r w:rsidRPr="00CE217B">
              <w:rPr>
                <w:sz w:val="20"/>
                <w:szCs w:val="20"/>
              </w:rPr>
              <w:t xml:space="preserve">cím procesu výrazně bonifikovat.  </w:t>
            </w:r>
          </w:p>
        </w:tc>
      </w:tr>
      <w:tr w:rsidR="00DA7E0D" w:rsidRPr="00CE217B" w14:paraId="32F6233A" w14:textId="77777777" w:rsidTr="00AD5FA3">
        <w:tc>
          <w:tcPr>
            <w:tcW w:w="749" w:type="dxa"/>
          </w:tcPr>
          <w:p w14:paraId="08451FFE" w14:textId="77777777" w:rsidR="00DA7E0D" w:rsidRPr="00CE217B" w:rsidRDefault="00DA7E0D" w:rsidP="00AD5FA3">
            <w:pPr>
              <w:rPr>
                <w:b/>
                <w:bCs/>
                <w:sz w:val="20"/>
                <w:szCs w:val="20"/>
              </w:rPr>
            </w:pPr>
            <w:r w:rsidRPr="00CE217B">
              <w:rPr>
                <w:b/>
                <w:bCs/>
                <w:sz w:val="20"/>
                <w:szCs w:val="20"/>
              </w:rPr>
              <w:lastRenderedPageBreak/>
              <w:t>Švédsko</w:t>
            </w:r>
          </w:p>
        </w:tc>
        <w:tc>
          <w:tcPr>
            <w:tcW w:w="1777" w:type="dxa"/>
          </w:tcPr>
          <w:p w14:paraId="5EE8FC68" w14:textId="77777777" w:rsidR="00DA7E0D" w:rsidRPr="00CE217B" w:rsidRDefault="00DA7E0D" w:rsidP="00AD5FA3">
            <w:pPr>
              <w:rPr>
                <w:sz w:val="20"/>
                <w:szCs w:val="20"/>
              </w:rPr>
            </w:pPr>
            <w:bookmarkStart w:id="43" w:name="_Hlk75188181"/>
            <w:r w:rsidRPr="00CE217B">
              <w:rPr>
                <w:i/>
                <w:iCs/>
                <w:sz w:val="20"/>
                <w:szCs w:val="20"/>
              </w:rPr>
              <w:t xml:space="preserve">Public </w:t>
            </w:r>
            <w:proofErr w:type="spellStart"/>
            <w:r w:rsidRPr="00CE217B">
              <w:rPr>
                <w:i/>
                <w:iCs/>
                <w:sz w:val="20"/>
                <w:szCs w:val="20"/>
              </w:rPr>
              <w:t>Private</w:t>
            </w:r>
            <w:proofErr w:type="spellEnd"/>
            <w:r w:rsidRPr="00CE217B">
              <w:rPr>
                <w:i/>
                <w:iCs/>
                <w:sz w:val="20"/>
                <w:szCs w:val="20"/>
              </w:rPr>
              <w:t xml:space="preserve"> Development Progra</w:t>
            </w:r>
            <w:bookmarkEnd w:id="43"/>
            <w:r w:rsidRPr="00CE217B">
              <w:rPr>
                <w:i/>
                <w:iCs/>
                <w:sz w:val="20"/>
                <w:szCs w:val="20"/>
              </w:rPr>
              <w:t>m</w:t>
            </w:r>
            <w:r w:rsidRPr="00CE217B">
              <w:rPr>
                <w:sz w:val="20"/>
                <w:szCs w:val="20"/>
              </w:rPr>
              <w:t xml:space="preserve"> (</w:t>
            </w:r>
            <w:bookmarkStart w:id="44" w:name="_Hlk75188173"/>
            <w:r w:rsidRPr="00CE217B">
              <w:rPr>
                <w:sz w:val="20"/>
                <w:szCs w:val="20"/>
              </w:rPr>
              <w:t>PPDP</w:t>
            </w:r>
            <w:bookmarkEnd w:id="44"/>
            <w:r w:rsidRPr="00CE217B">
              <w:rPr>
                <w:sz w:val="20"/>
                <w:szCs w:val="20"/>
              </w:rPr>
              <w:t>)</w:t>
            </w:r>
          </w:p>
          <w:p w14:paraId="071D215F" w14:textId="77777777" w:rsidR="00DA7E0D" w:rsidRPr="00CE217B" w:rsidRDefault="00DA7E0D" w:rsidP="00AD5FA3">
            <w:pPr>
              <w:rPr>
                <w:sz w:val="20"/>
                <w:szCs w:val="20"/>
              </w:rPr>
            </w:pPr>
          </w:p>
          <w:p w14:paraId="3ED00B3C" w14:textId="77777777" w:rsidR="007161F3" w:rsidRPr="00CE217B" w:rsidRDefault="007161F3" w:rsidP="007161F3">
            <w:pPr>
              <w:keepNext/>
              <w:spacing w:after="0"/>
              <w:rPr>
                <w:sz w:val="20"/>
                <w:szCs w:val="20"/>
              </w:rPr>
            </w:pPr>
            <w:r w:rsidRPr="00CE217B">
              <w:rPr>
                <w:sz w:val="20"/>
                <w:szCs w:val="20"/>
              </w:rPr>
              <w:t>Dobrá praxe</w:t>
            </w:r>
            <w:r>
              <w:rPr>
                <w:sz w:val="20"/>
                <w:szCs w:val="20"/>
              </w:rPr>
              <w:t>:</w:t>
            </w:r>
          </w:p>
          <w:p w14:paraId="2B6C23AB" w14:textId="77777777" w:rsidR="00DA7E0D" w:rsidRPr="00CE217B" w:rsidRDefault="00DA7E0D" w:rsidP="00AD5FA3">
            <w:pPr>
              <w:rPr>
                <w:sz w:val="20"/>
                <w:szCs w:val="20"/>
              </w:rPr>
            </w:pPr>
            <w:r w:rsidRPr="00CE217B">
              <w:rPr>
                <w:b/>
                <w:bCs/>
                <w:sz w:val="18"/>
                <w:szCs w:val="18"/>
              </w:rPr>
              <w:t>administrace projektu třetí stranou (z neziskového/veřejného sektoru), nikoliv investory projektu zvyšující potenciální rozvojový dopad</w:t>
            </w:r>
          </w:p>
        </w:tc>
        <w:tc>
          <w:tcPr>
            <w:tcW w:w="4989" w:type="dxa"/>
          </w:tcPr>
          <w:p w14:paraId="6EA11BAE" w14:textId="77777777" w:rsidR="00DA7E0D" w:rsidRPr="00CE217B" w:rsidRDefault="00DA7E0D" w:rsidP="00AD5FA3">
            <w:pPr>
              <w:rPr>
                <w:sz w:val="20"/>
                <w:szCs w:val="20"/>
              </w:rPr>
            </w:pPr>
            <w:r w:rsidRPr="00CE217B">
              <w:rPr>
                <w:sz w:val="20"/>
                <w:szCs w:val="20"/>
              </w:rPr>
              <w:t>Díky PPDP mobilizuje švédská rozvojová agentura SIDA nejen zdroje, ale i dovednosti soukromého sektoru k inovativnímu řešení přispívající</w:t>
            </w:r>
            <w:r>
              <w:rPr>
                <w:sz w:val="20"/>
                <w:szCs w:val="20"/>
              </w:rPr>
              <w:t>mu</w:t>
            </w:r>
            <w:r w:rsidRPr="00CE217B">
              <w:rPr>
                <w:sz w:val="20"/>
                <w:szCs w:val="20"/>
              </w:rPr>
              <w:t xml:space="preserve"> k udržitelnému rozvoji v partnerských zemích. Projekty realizované v rámci tohoto programu jsou kofinancovány soukromým sektorem (v minimální výši 50 % očekávaných nákladů) a implementovány v kooperaci s neziskovým sektorem/veřejným sektorem (místní ministerstvo či agentura), který má obvykle na starosti celkovou administraci a finanční management projektu. Projekty podporovány tímto programem jsou obvykle zaměřeny na rozvoj </w:t>
            </w:r>
            <w:proofErr w:type="spellStart"/>
            <w:r w:rsidRPr="00CE217B">
              <w:rPr>
                <w:i/>
                <w:iCs/>
                <w:sz w:val="20"/>
                <w:szCs w:val="20"/>
              </w:rPr>
              <w:t>value</w:t>
            </w:r>
            <w:proofErr w:type="spellEnd"/>
            <w:r w:rsidRPr="00CE217B">
              <w:rPr>
                <w:i/>
                <w:iCs/>
                <w:sz w:val="20"/>
                <w:szCs w:val="20"/>
              </w:rPr>
              <w:t xml:space="preserve"> </w:t>
            </w:r>
            <w:proofErr w:type="spellStart"/>
            <w:r w:rsidRPr="00CE217B">
              <w:rPr>
                <w:i/>
                <w:iCs/>
                <w:sz w:val="20"/>
                <w:szCs w:val="20"/>
              </w:rPr>
              <w:t>chain</w:t>
            </w:r>
            <w:proofErr w:type="spellEnd"/>
            <w:r w:rsidRPr="00CE217B">
              <w:rPr>
                <w:sz w:val="20"/>
                <w:szCs w:val="20"/>
              </w:rPr>
              <w:t xml:space="preserve">, zlepšení zemědělských praktik, výzkum a vývoj, odborné vzdělávání či investice do infrastruktury. </w:t>
            </w:r>
          </w:p>
        </w:tc>
        <w:tc>
          <w:tcPr>
            <w:tcW w:w="1501" w:type="dxa"/>
          </w:tcPr>
          <w:p w14:paraId="35AFC3C5" w14:textId="77777777" w:rsidR="00DA7E0D" w:rsidRPr="00CE217B" w:rsidRDefault="00DA7E0D" w:rsidP="00AD5FA3">
            <w:pPr>
              <w:rPr>
                <w:sz w:val="20"/>
                <w:szCs w:val="20"/>
              </w:rPr>
            </w:pPr>
            <w:r w:rsidRPr="00CE217B">
              <w:rPr>
                <w:sz w:val="20"/>
                <w:szCs w:val="20"/>
              </w:rPr>
              <w:t>Zvážit po diskuzi s relevantními aktéry obdobný formát podpory.</w:t>
            </w:r>
          </w:p>
        </w:tc>
      </w:tr>
      <w:tr w:rsidR="00DA7E0D" w:rsidRPr="00CE217B" w14:paraId="2D9BD9E4" w14:textId="77777777" w:rsidTr="00AD5FA3">
        <w:tc>
          <w:tcPr>
            <w:tcW w:w="749" w:type="dxa"/>
          </w:tcPr>
          <w:p w14:paraId="27B22690" w14:textId="77777777" w:rsidR="00DA7E0D" w:rsidRPr="00CE217B" w:rsidRDefault="00DA7E0D" w:rsidP="00AD5FA3">
            <w:pPr>
              <w:rPr>
                <w:b/>
                <w:bCs/>
                <w:sz w:val="20"/>
                <w:szCs w:val="20"/>
              </w:rPr>
            </w:pPr>
            <w:r w:rsidRPr="00CE217B">
              <w:rPr>
                <w:b/>
                <w:bCs/>
                <w:sz w:val="20"/>
                <w:szCs w:val="20"/>
              </w:rPr>
              <w:t>Finsko</w:t>
            </w:r>
          </w:p>
        </w:tc>
        <w:tc>
          <w:tcPr>
            <w:tcW w:w="1777" w:type="dxa"/>
          </w:tcPr>
          <w:p w14:paraId="787E2884" w14:textId="77777777" w:rsidR="00DA7E0D" w:rsidRPr="00CE217B" w:rsidRDefault="00DA7E0D" w:rsidP="00576785">
            <w:pPr>
              <w:spacing w:before="0" w:after="0"/>
              <w:rPr>
                <w:i/>
                <w:iCs/>
                <w:sz w:val="20"/>
                <w:szCs w:val="20"/>
              </w:rPr>
            </w:pPr>
            <w:proofErr w:type="spellStart"/>
            <w:r w:rsidRPr="00CE217B">
              <w:rPr>
                <w:i/>
                <w:iCs/>
                <w:sz w:val="20"/>
                <w:szCs w:val="20"/>
              </w:rPr>
              <w:t>Finnpartnership</w:t>
            </w:r>
            <w:proofErr w:type="spellEnd"/>
          </w:p>
          <w:p w14:paraId="1AE557BA" w14:textId="77777777" w:rsidR="00DA7E0D" w:rsidRPr="00CE217B" w:rsidRDefault="00DA7E0D" w:rsidP="00576785">
            <w:pPr>
              <w:spacing w:before="0" w:after="0"/>
              <w:rPr>
                <w:i/>
                <w:iCs/>
                <w:sz w:val="20"/>
                <w:szCs w:val="20"/>
              </w:rPr>
            </w:pPr>
          </w:p>
          <w:p w14:paraId="57ADCB3C" w14:textId="77777777" w:rsidR="00DA7E0D" w:rsidRPr="00576785" w:rsidRDefault="00DA7E0D" w:rsidP="00145016">
            <w:pPr>
              <w:rPr>
                <w:sz w:val="20"/>
                <w:szCs w:val="20"/>
              </w:rPr>
            </w:pPr>
          </w:p>
          <w:p w14:paraId="45620359" w14:textId="77777777" w:rsidR="00145016" w:rsidRPr="00576785" w:rsidRDefault="00145016" w:rsidP="00145016">
            <w:pPr>
              <w:rPr>
                <w:sz w:val="20"/>
                <w:szCs w:val="20"/>
              </w:rPr>
            </w:pPr>
          </w:p>
          <w:p w14:paraId="4E4BD776" w14:textId="77777777" w:rsidR="007161F3" w:rsidRPr="00CE217B" w:rsidRDefault="007161F3" w:rsidP="00576785">
            <w:pPr>
              <w:rPr>
                <w:sz w:val="20"/>
                <w:szCs w:val="20"/>
              </w:rPr>
            </w:pPr>
            <w:r w:rsidRPr="00145016">
              <w:rPr>
                <w:sz w:val="20"/>
                <w:szCs w:val="20"/>
              </w:rPr>
              <w:t>Dobrá</w:t>
            </w:r>
            <w:r w:rsidRPr="00CE217B">
              <w:rPr>
                <w:sz w:val="20"/>
                <w:szCs w:val="20"/>
              </w:rPr>
              <w:t xml:space="preserve"> praxe</w:t>
            </w:r>
            <w:r>
              <w:rPr>
                <w:sz w:val="20"/>
                <w:szCs w:val="20"/>
              </w:rPr>
              <w:t>:</w:t>
            </w:r>
          </w:p>
          <w:p w14:paraId="37E8CC29" w14:textId="3C14DAC2" w:rsidR="00DA7E0D" w:rsidRPr="00576785" w:rsidRDefault="00DA7E0D" w:rsidP="00145016">
            <w:pPr>
              <w:rPr>
                <w:b/>
                <w:bCs/>
                <w:sz w:val="20"/>
                <w:szCs w:val="20"/>
              </w:rPr>
            </w:pPr>
            <w:r w:rsidRPr="00576785">
              <w:rPr>
                <w:b/>
                <w:bCs/>
                <w:sz w:val="20"/>
                <w:szCs w:val="20"/>
              </w:rPr>
              <w:t xml:space="preserve">podpora spolupráce soukromého sektoru s neziskovým vytvořením nástroje „podpůrných projektů“, výše příspěvku dle velikosti žadatele, cílové země a </w:t>
            </w:r>
            <w:r w:rsidRPr="00576785">
              <w:rPr>
                <w:b/>
                <w:bCs/>
                <w:sz w:val="20"/>
                <w:szCs w:val="20"/>
              </w:rPr>
              <w:lastRenderedPageBreak/>
              <w:t>zapojení neziskové/</w:t>
            </w:r>
            <w:r w:rsidR="007946FB">
              <w:rPr>
                <w:b/>
                <w:bCs/>
                <w:sz w:val="20"/>
                <w:szCs w:val="20"/>
              </w:rPr>
              <w:t xml:space="preserve"> </w:t>
            </w:r>
            <w:r w:rsidRPr="00576785">
              <w:rPr>
                <w:b/>
                <w:bCs/>
                <w:sz w:val="20"/>
                <w:szCs w:val="20"/>
              </w:rPr>
              <w:t>vzdělávací instituce</w:t>
            </w:r>
          </w:p>
          <w:p w14:paraId="78ED00A8" w14:textId="77777777" w:rsidR="00DA7E0D" w:rsidRPr="00CE217B" w:rsidRDefault="00DA7E0D" w:rsidP="00AD5FA3">
            <w:pPr>
              <w:rPr>
                <w:sz w:val="20"/>
                <w:szCs w:val="20"/>
              </w:rPr>
            </w:pPr>
          </w:p>
        </w:tc>
        <w:tc>
          <w:tcPr>
            <w:tcW w:w="4989" w:type="dxa"/>
          </w:tcPr>
          <w:p w14:paraId="0B4764B0" w14:textId="18AE3BCA" w:rsidR="00DA7E0D" w:rsidRPr="00CE217B" w:rsidRDefault="00DA7E0D" w:rsidP="00AD5FA3">
            <w:pPr>
              <w:rPr>
                <w:sz w:val="20"/>
                <w:szCs w:val="20"/>
              </w:rPr>
            </w:pPr>
            <w:proofErr w:type="spellStart"/>
            <w:r w:rsidRPr="00CE217B">
              <w:rPr>
                <w:sz w:val="20"/>
                <w:szCs w:val="20"/>
              </w:rPr>
              <w:lastRenderedPageBreak/>
              <w:t>Finnpartnership</w:t>
            </w:r>
            <w:proofErr w:type="spellEnd"/>
            <w:r w:rsidRPr="00CE217B">
              <w:rPr>
                <w:sz w:val="20"/>
                <w:szCs w:val="20"/>
              </w:rPr>
              <w:t xml:space="preserve"> je program zaměřený na podporu vzniku business partnerství mezi Finskem a rozvojovými zeměmi s pozitivním rozvojovým dopadem. Program je financovaný ministerstvem zahraničních věcí a spravovaný </w:t>
            </w:r>
            <w:proofErr w:type="spellStart"/>
            <w:r w:rsidRPr="00CE217B">
              <w:rPr>
                <w:i/>
                <w:iCs/>
                <w:sz w:val="20"/>
                <w:szCs w:val="20"/>
              </w:rPr>
              <w:t>Finnfund</w:t>
            </w:r>
            <w:proofErr w:type="spellEnd"/>
            <w:r w:rsidRPr="00CE217B">
              <w:rPr>
                <w:sz w:val="20"/>
                <w:szCs w:val="20"/>
              </w:rPr>
              <w:t xml:space="preserve">. Mezi jeho hlavní nástroje patří </w:t>
            </w:r>
            <w:bookmarkStart w:id="45" w:name="_Hlk75188346"/>
            <w:r w:rsidRPr="00CE217B">
              <w:rPr>
                <w:i/>
                <w:iCs/>
                <w:sz w:val="20"/>
                <w:szCs w:val="20"/>
              </w:rPr>
              <w:t xml:space="preserve">Business </w:t>
            </w:r>
            <w:proofErr w:type="spellStart"/>
            <w:r w:rsidRPr="00CE217B">
              <w:rPr>
                <w:i/>
                <w:iCs/>
                <w:sz w:val="20"/>
                <w:szCs w:val="20"/>
              </w:rPr>
              <w:t>Partnership</w:t>
            </w:r>
            <w:proofErr w:type="spellEnd"/>
            <w:r w:rsidRPr="00CE217B">
              <w:rPr>
                <w:i/>
                <w:iCs/>
                <w:sz w:val="20"/>
                <w:szCs w:val="20"/>
              </w:rPr>
              <w:t xml:space="preserve"> Support</w:t>
            </w:r>
            <w:r w:rsidRPr="00CE217B">
              <w:rPr>
                <w:sz w:val="20"/>
                <w:szCs w:val="20"/>
              </w:rPr>
              <w:t xml:space="preserve"> </w:t>
            </w:r>
            <w:bookmarkEnd w:id="45"/>
            <w:r w:rsidRPr="00CE217B">
              <w:rPr>
                <w:sz w:val="20"/>
                <w:szCs w:val="20"/>
              </w:rPr>
              <w:t>(</w:t>
            </w:r>
            <w:bookmarkStart w:id="46" w:name="_Hlk75188338"/>
            <w:r w:rsidRPr="00CE217B">
              <w:rPr>
                <w:sz w:val="20"/>
                <w:szCs w:val="20"/>
              </w:rPr>
              <w:t>BPS</w:t>
            </w:r>
            <w:bookmarkEnd w:id="46"/>
            <w:r w:rsidRPr="00CE217B">
              <w:rPr>
                <w:sz w:val="20"/>
                <w:szCs w:val="20"/>
              </w:rPr>
              <w:t xml:space="preserve">) a </w:t>
            </w:r>
            <w:proofErr w:type="spellStart"/>
            <w:r w:rsidRPr="00CE217B">
              <w:rPr>
                <w:i/>
                <w:iCs/>
                <w:sz w:val="20"/>
                <w:szCs w:val="20"/>
              </w:rPr>
              <w:t>Matchmaking</w:t>
            </w:r>
            <w:proofErr w:type="spellEnd"/>
            <w:r w:rsidRPr="00CE217B">
              <w:rPr>
                <w:sz w:val="20"/>
                <w:szCs w:val="20"/>
              </w:rPr>
              <w:t xml:space="preserve">. </w:t>
            </w:r>
          </w:p>
          <w:p w14:paraId="6F10D58D" w14:textId="6F38818E" w:rsidR="00DA7E0D" w:rsidRPr="00CE217B" w:rsidRDefault="00DA7E0D" w:rsidP="00AD5FA3">
            <w:pPr>
              <w:rPr>
                <w:sz w:val="20"/>
                <w:szCs w:val="20"/>
              </w:rPr>
            </w:pPr>
            <w:r w:rsidRPr="00CE217B">
              <w:rPr>
                <w:sz w:val="20"/>
                <w:szCs w:val="20"/>
              </w:rPr>
              <w:t xml:space="preserve">Skrze BPS mohou jak firmy, tak neziskové či vzdělávací instituce žádat o finanční prostředky k hledání podnikatelských příležitostí. Financovány jsou iniciační aktivity pomáhající navazovat a budovat dlouhodobá, komerční partnerství v rozvojových zemích. Neziskové či vzdělávací instituce mohou navíc žádat o podporu v rámci </w:t>
            </w:r>
            <w:r w:rsidRPr="00CE217B">
              <w:rPr>
                <w:i/>
                <w:iCs/>
                <w:sz w:val="20"/>
                <w:szCs w:val="20"/>
              </w:rPr>
              <w:t xml:space="preserve">support </w:t>
            </w:r>
            <w:proofErr w:type="spellStart"/>
            <w:r w:rsidRPr="00CE217B">
              <w:rPr>
                <w:i/>
                <w:iCs/>
                <w:sz w:val="20"/>
                <w:szCs w:val="20"/>
              </w:rPr>
              <w:t>function</w:t>
            </w:r>
            <w:proofErr w:type="spellEnd"/>
            <w:r w:rsidRPr="00CE217B">
              <w:rPr>
                <w:sz w:val="20"/>
                <w:szCs w:val="20"/>
              </w:rPr>
              <w:t xml:space="preserve"> projektů, které jsou partnerskými projekty jiných (zpravidla komerčních) subjektů z téhož programu. Tyto doprovodné projekty implementované neziskovou či vzdělávací institucí mohu získat podporu na aktivity </w:t>
            </w:r>
            <w:r w:rsidRPr="00CE217B">
              <w:rPr>
                <w:sz w:val="20"/>
                <w:szCs w:val="20"/>
              </w:rPr>
              <w:lastRenderedPageBreak/>
              <w:t xml:space="preserve">posilující kapacity cílové skupiny primárního komerčního projektu, na zakládání platforem či organizování seminářů, workshopů či školení navázaných na primární projekt. </w:t>
            </w:r>
          </w:p>
          <w:p w14:paraId="116BDD98" w14:textId="65CF283C" w:rsidR="00DA7E0D" w:rsidRPr="00CE217B" w:rsidRDefault="00DA7E0D" w:rsidP="00AD5FA3">
            <w:pPr>
              <w:rPr>
                <w:sz w:val="20"/>
                <w:szCs w:val="20"/>
              </w:rPr>
            </w:pPr>
            <w:r w:rsidRPr="00CE217B">
              <w:rPr>
                <w:sz w:val="20"/>
                <w:szCs w:val="20"/>
              </w:rPr>
              <w:t>Výše finančního příspěvku (30 %, 50 %, 70 % či 85 % z celkových nákladů projektu) závisí jak na velikosti firmy, která o podporu žádá, tak na kategorii partnerské země (</w:t>
            </w:r>
            <w:proofErr w:type="spellStart"/>
            <w:r w:rsidRPr="00CE217B">
              <w:rPr>
                <w:i/>
                <w:iCs/>
                <w:sz w:val="20"/>
                <w:szCs w:val="20"/>
              </w:rPr>
              <w:t>highly</w:t>
            </w:r>
            <w:proofErr w:type="spellEnd"/>
            <w:r w:rsidRPr="00CE217B">
              <w:rPr>
                <w:i/>
                <w:iCs/>
                <w:sz w:val="20"/>
                <w:szCs w:val="20"/>
              </w:rPr>
              <w:t xml:space="preserve"> </w:t>
            </w:r>
            <w:proofErr w:type="spellStart"/>
            <w:r w:rsidRPr="00CE217B">
              <w:rPr>
                <w:i/>
                <w:iCs/>
                <w:sz w:val="20"/>
                <w:szCs w:val="20"/>
              </w:rPr>
              <w:t>fragile</w:t>
            </w:r>
            <w:proofErr w:type="spellEnd"/>
            <w:r w:rsidRPr="00CE217B">
              <w:rPr>
                <w:i/>
                <w:iCs/>
                <w:sz w:val="20"/>
                <w:szCs w:val="20"/>
              </w:rPr>
              <w:t xml:space="preserve"> </w:t>
            </w:r>
            <w:proofErr w:type="spellStart"/>
            <w:r w:rsidRPr="00CE217B">
              <w:rPr>
                <w:i/>
                <w:iCs/>
                <w:sz w:val="20"/>
                <w:szCs w:val="20"/>
              </w:rPr>
              <w:t>state</w:t>
            </w:r>
            <w:proofErr w:type="spellEnd"/>
            <w:r w:rsidRPr="00CE217B">
              <w:rPr>
                <w:i/>
                <w:iCs/>
                <w:sz w:val="20"/>
                <w:szCs w:val="20"/>
              </w:rPr>
              <w:t xml:space="preserve">, </w:t>
            </w:r>
            <w:proofErr w:type="spellStart"/>
            <w:r w:rsidRPr="00CE217B">
              <w:rPr>
                <w:i/>
                <w:iCs/>
                <w:sz w:val="20"/>
                <w:szCs w:val="20"/>
              </w:rPr>
              <w:t>low-income</w:t>
            </w:r>
            <w:proofErr w:type="spellEnd"/>
            <w:r w:rsidRPr="00CE217B">
              <w:rPr>
                <w:i/>
                <w:iCs/>
                <w:sz w:val="20"/>
                <w:szCs w:val="20"/>
              </w:rPr>
              <w:t xml:space="preserve"> </w:t>
            </w:r>
            <w:proofErr w:type="spellStart"/>
            <w:r w:rsidRPr="00CE217B">
              <w:rPr>
                <w:i/>
                <w:iCs/>
                <w:sz w:val="20"/>
                <w:szCs w:val="20"/>
              </w:rPr>
              <w:t>developing</w:t>
            </w:r>
            <w:proofErr w:type="spellEnd"/>
            <w:r w:rsidRPr="00CE217B">
              <w:rPr>
                <w:i/>
                <w:iCs/>
                <w:sz w:val="20"/>
                <w:szCs w:val="20"/>
              </w:rPr>
              <w:t xml:space="preserve"> </w:t>
            </w:r>
            <w:proofErr w:type="spellStart"/>
            <w:r w:rsidRPr="00CE217B">
              <w:rPr>
                <w:i/>
                <w:iCs/>
                <w:sz w:val="20"/>
                <w:szCs w:val="20"/>
              </w:rPr>
              <w:t>countries</w:t>
            </w:r>
            <w:proofErr w:type="spellEnd"/>
            <w:r w:rsidRPr="00CE217B">
              <w:rPr>
                <w:sz w:val="20"/>
                <w:szCs w:val="20"/>
              </w:rPr>
              <w:t xml:space="preserve"> aj.), kde je projekt implementován. Podpůrné projekty neziskových či vzdělávacích institucí dosáhnou vždy maximální možné podpory (tj. 85 %). Zájemci mohou žádat o podporu i v konsorciu, každý z partnerů však musí podat žádost samostatně, se svým vlastním rozpočtem. Společně mohou reportovat či sdílet expertízu.  </w:t>
            </w:r>
          </w:p>
          <w:p w14:paraId="7220D779" w14:textId="77777777" w:rsidR="00DA7E0D" w:rsidRPr="00CE217B" w:rsidRDefault="00DA7E0D" w:rsidP="00AD5FA3">
            <w:pPr>
              <w:rPr>
                <w:b/>
                <w:bCs/>
                <w:sz w:val="20"/>
                <w:szCs w:val="20"/>
              </w:rPr>
            </w:pPr>
            <w:r w:rsidRPr="00CE217B">
              <w:rPr>
                <w:sz w:val="20"/>
                <w:szCs w:val="20"/>
              </w:rPr>
              <w:t xml:space="preserve">Kromě financování nabízí </w:t>
            </w:r>
            <w:proofErr w:type="spellStart"/>
            <w:r w:rsidRPr="00CE217B">
              <w:rPr>
                <w:i/>
                <w:iCs/>
                <w:sz w:val="20"/>
                <w:szCs w:val="20"/>
              </w:rPr>
              <w:t>Finnpartnership</w:t>
            </w:r>
            <w:proofErr w:type="spellEnd"/>
            <w:r w:rsidRPr="00CE217B">
              <w:rPr>
                <w:sz w:val="20"/>
                <w:szCs w:val="20"/>
              </w:rPr>
              <w:t xml:space="preserve"> i konzultační služby. Dalším z jeho významných nástrojů je </w:t>
            </w:r>
            <w:proofErr w:type="spellStart"/>
            <w:r w:rsidRPr="00CE217B">
              <w:rPr>
                <w:i/>
                <w:iCs/>
                <w:sz w:val="20"/>
                <w:szCs w:val="20"/>
              </w:rPr>
              <w:t>Matchmaking</w:t>
            </w:r>
            <w:proofErr w:type="spellEnd"/>
            <w:r w:rsidRPr="00CE217B">
              <w:rPr>
                <w:sz w:val="20"/>
                <w:szCs w:val="20"/>
              </w:rPr>
              <w:t xml:space="preserve"> propojující finské firmy či neziskové a vzdělávací instituce s prověřenými podnikatelskými subjekty z rozvojových zemí, díky online veřejné databázi kontaktů, asistenci při navazování vztahů či pořádáním seminářů přímo v rozvojových zemích, během nichž jsou představeny finské firmy, relevantní pro danou skupinu místních podnikatelů. </w:t>
            </w:r>
            <w:proofErr w:type="spellStart"/>
            <w:r w:rsidRPr="00CE217B">
              <w:rPr>
                <w:sz w:val="20"/>
                <w:szCs w:val="20"/>
              </w:rPr>
              <w:t>Finnpartnership</w:t>
            </w:r>
            <w:proofErr w:type="spellEnd"/>
            <w:r w:rsidRPr="00CE217B">
              <w:rPr>
                <w:sz w:val="20"/>
                <w:szCs w:val="20"/>
              </w:rPr>
              <w:t xml:space="preserve"> pořádá též pravidelné semináře pro případné zájemce o podporu, během nichž se mj. snaží propojovat soukromý sektor s neziskovým (v rámci půldenního školení vystupuje s příspěvkem o možnosti spolupráce představitel platformy neziskových organizací působící v rozvojové spolupráci). </w:t>
            </w:r>
          </w:p>
        </w:tc>
        <w:tc>
          <w:tcPr>
            <w:tcW w:w="1501" w:type="dxa"/>
          </w:tcPr>
          <w:p w14:paraId="70F73331" w14:textId="5747652E" w:rsidR="00DA7E0D" w:rsidRPr="00CE217B" w:rsidRDefault="00DA7E0D" w:rsidP="00AD5FA3">
            <w:pPr>
              <w:rPr>
                <w:sz w:val="20"/>
                <w:szCs w:val="20"/>
              </w:rPr>
            </w:pPr>
            <w:r w:rsidRPr="00CE217B">
              <w:rPr>
                <w:sz w:val="20"/>
                <w:szCs w:val="20"/>
              </w:rPr>
              <w:lastRenderedPageBreak/>
              <w:t>Motivovat</w:t>
            </w:r>
            <w:r>
              <w:rPr>
                <w:sz w:val="20"/>
                <w:szCs w:val="20"/>
              </w:rPr>
              <w:t xml:space="preserve"> k</w:t>
            </w:r>
            <w:r w:rsidRPr="00CE217B">
              <w:rPr>
                <w:sz w:val="20"/>
                <w:szCs w:val="20"/>
              </w:rPr>
              <w:t> budování partnerství vytvořením možnosti pro neziskové/</w:t>
            </w:r>
            <w:r w:rsidR="00145016">
              <w:rPr>
                <w:sz w:val="20"/>
                <w:szCs w:val="20"/>
              </w:rPr>
              <w:t xml:space="preserve"> </w:t>
            </w:r>
            <w:r w:rsidRPr="00CE217B">
              <w:rPr>
                <w:sz w:val="20"/>
                <w:szCs w:val="20"/>
              </w:rPr>
              <w:t>vzdělávací instituce žádat o podporu podpůrných projektů v rámci komerčních programů</w:t>
            </w:r>
            <w:r>
              <w:rPr>
                <w:sz w:val="20"/>
                <w:szCs w:val="20"/>
              </w:rPr>
              <w:t>.</w:t>
            </w:r>
            <w:r w:rsidRPr="00CE217B">
              <w:rPr>
                <w:sz w:val="20"/>
                <w:szCs w:val="20"/>
              </w:rPr>
              <w:t xml:space="preserve"> </w:t>
            </w:r>
          </w:p>
          <w:p w14:paraId="5673D0EA" w14:textId="77777777" w:rsidR="00DA7E0D" w:rsidRPr="00CE217B" w:rsidRDefault="00DA7E0D" w:rsidP="00AD5FA3">
            <w:pPr>
              <w:rPr>
                <w:sz w:val="20"/>
                <w:szCs w:val="20"/>
              </w:rPr>
            </w:pPr>
          </w:p>
          <w:p w14:paraId="3422936D" w14:textId="77777777" w:rsidR="00DA7E0D" w:rsidRPr="00CE217B" w:rsidRDefault="00DA7E0D" w:rsidP="00AD5FA3">
            <w:pPr>
              <w:rPr>
                <w:sz w:val="20"/>
                <w:szCs w:val="20"/>
              </w:rPr>
            </w:pPr>
            <w:r w:rsidRPr="00CE217B">
              <w:rPr>
                <w:sz w:val="20"/>
                <w:szCs w:val="20"/>
              </w:rPr>
              <w:lastRenderedPageBreak/>
              <w:t>Vytvořit online databázi prověřených firem v partnerských zemích, které hledají partnera</w:t>
            </w:r>
            <w:r>
              <w:rPr>
                <w:sz w:val="20"/>
                <w:szCs w:val="20"/>
              </w:rPr>
              <w:t>,</w:t>
            </w:r>
            <w:r w:rsidRPr="00CE217B">
              <w:rPr>
                <w:sz w:val="20"/>
                <w:szCs w:val="20"/>
              </w:rPr>
              <w:t xml:space="preserve"> a asistovat při případném navazování kontaktů</w:t>
            </w:r>
            <w:r>
              <w:rPr>
                <w:sz w:val="20"/>
                <w:szCs w:val="20"/>
              </w:rPr>
              <w:t>.</w:t>
            </w:r>
          </w:p>
          <w:p w14:paraId="2D7E7E16" w14:textId="77777777" w:rsidR="00DA7E0D" w:rsidRPr="00CE217B" w:rsidRDefault="00DA7E0D" w:rsidP="00AD5FA3">
            <w:pPr>
              <w:rPr>
                <w:sz w:val="20"/>
                <w:szCs w:val="20"/>
              </w:rPr>
            </w:pPr>
          </w:p>
          <w:p w14:paraId="68B7E263" w14:textId="77777777" w:rsidR="00DA7E0D" w:rsidRPr="00CE217B" w:rsidRDefault="00DA7E0D" w:rsidP="00AD5FA3">
            <w:pPr>
              <w:rPr>
                <w:sz w:val="20"/>
                <w:szCs w:val="20"/>
              </w:rPr>
            </w:pPr>
          </w:p>
          <w:p w14:paraId="7174EC58" w14:textId="77777777" w:rsidR="00DA7E0D" w:rsidRPr="00CE217B" w:rsidRDefault="00DA7E0D" w:rsidP="00AD5FA3">
            <w:pPr>
              <w:rPr>
                <w:sz w:val="20"/>
                <w:szCs w:val="20"/>
              </w:rPr>
            </w:pPr>
          </w:p>
        </w:tc>
      </w:tr>
    </w:tbl>
    <w:p w14:paraId="2153BB59" w14:textId="660A49B9" w:rsidR="00B652F5" w:rsidRPr="00CE217B" w:rsidRDefault="00DA7E0D" w:rsidP="00DA7E0D">
      <w:pPr>
        <w:rPr>
          <w:sz w:val="18"/>
          <w:szCs w:val="18"/>
        </w:rPr>
      </w:pPr>
      <w:r w:rsidRPr="00CE217B">
        <w:rPr>
          <w:sz w:val="18"/>
          <w:szCs w:val="18"/>
        </w:rPr>
        <w:lastRenderedPageBreak/>
        <w:t xml:space="preserve">Zdroj: </w:t>
      </w:r>
      <w:r w:rsidR="007946FB" w:rsidRPr="00CE217B">
        <w:rPr>
          <w:sz w:val="18"/>
          <w:szCs w:val="18"/>
        </w:rPr>
        <w:t xml:space="preserve">Vlastní zpracování </w:t>
      </w:r>
      <w:r w:rsidRPr="00CE217B">
        <w:rPr>
          <w:sz w:val="18"/>
          <w:szCs w:val="18"/>
        </w:rPr>
        <w:t>na základě literatury specifikované v seznamu použitých zdrojů.</w:t>
      </w:r>
    </w:p>
    <w:p w14:paraId="5C79F6A6" w14:textId="4DF83703" w:rsidR="007161F3" w:rsidRDefault="007161F3" w:rsidP="00DA7E0D"/>
    <w:p w14:paraId="0C8930E1" w14:textId="77777777" w:rsidR="00DA7E0D" w:rsidRDefault="00DA7E0D" w:rsidP="00B84ED1">
      <w:pPr>
        <w:pStyle w:val="Nadpis1"/>
        <w:numPr>
          <w:ilvl w:val="0"/>
          <w:numId w:val="4"/>
        </w:numPr>
        <w:ind w:left="432" w:hanging="432"/>
      </w:pPr>
      <w:bookmarkStart w:id="47" w:name="_Toc75263412"/>
      <w:r w:rsidRPr="00CE217B">
        <w:t>Přístupy donorů z vyspělých zemí k podpoře kapacit realizátorů rozvojové spolupráce a core fundingu</w:t>
      </w:r>
      <w:bookmarkEnd w:id="47"/>
    </w:p>
    <w:p w14:paraId="0B6BF5C4" w14:textId="4E3DDF91" w:rsidR="00DA7E0D" w:rsidRPr="00453258" w:rsidRDefault="00DA7E0D" w:rsidP="00B84ED1">
      <w:pPr>
        <w:pStyle w:val="Nadpis2"/>
        <w:numPr>
          <w:ilvl w:val="1"/>
          <w:numId w:val="16"/>
        </w:numPr>
      </w:pPr>
      <w:bookmarkStart w:id="48" w:name="_Toc75263413"/>
      <w:bookmarkStart w:id="49" w:name="_Hlk75261525"/>
      <w:r w:rsidRPr="00453258">
        <w:t>Úvod</w:t>
      </w:r>
      <w:bookmarkEnd w:id="48"/>
    </w:p>
    <w:p w14:paraId="47C00FEF" w14:textId="77777777" w:rsidR="00DA7E0D" w:rsidRPr="00CE217B" w:rsidRDefault="00DA7E0D" w:rsidP="00DA7E0D">
      <w:r w:rsidRPr="00CE217B">
        <w:t xml:space="preserve">Tato část přílohy závěrečné zprávy evaluace </w:t>
      </w:r>
      <w:r>
        <w:t>Programu</w:t>
      </w:r>
      <w:r w:rsidRPr="00CE217B">
        <w:t xml:space="preserve"> poskytuje </w:t>
      </w:r>
      <w:r w:rsidRPr="00CE217B">
        <w:rPr>
          <w:b/>
          <w:bCs/>
        </w:rPr>
        <w:t>příklady dobré praxe přístupů</w:t>
      </w:r>
      <w:r w:rsidRPr="00CE217B">
        <w:t xml:space="preserve"> vyspělých donorů </w:t>
      </w:r>
      <w:r w:rsidRPr="00CE217B">
        <w:rPr>
          <w:b/>
          <w:bCs/>
        </w:rPr>
        <w:t>k podpoře kapacit realizátorů rozvojové spolupráce</w:t>
      </w:r>
      <w:r w:rsidRPr="00CE217B">
        <w:t xml:space="preserve">, resp. </w:t>
      </w:r>
      <w:r w:rsidRPr="00CE217B">
        <w:rPr>
          <w:b/>
          <w:bCs/>
        </w:rPr>
        <w:t>k jejich stabilnímu financování a k podpoře partnerského prostředí</w:t>
      </w:r>
      <w:r w:rsidRPr="00CE217B">
        <w:t>, v </w:t>
      </w:r>
      <w:proofErr w:type="gramStart"/>
      <w:r w:rsidRPr="00CE217B">
        <w:t>rámci</w:t>
      </w:r>
      <w:proofErr w:type="gramEnd"/>
      <w:r w:rsidRPr="00CE217B">
        <w:t xml:space="preserve"> kterého vznikají spolupráce různých aktérů napříč sektory pro efektivní realizaci </w:t>
      </w:r>
      <w:r>
        <w:t>ZRS</w:t>
      </w:r>
      <w:r w:rsidRPr="00CE217B">
        <w:t xml:space="preserve">. Jde zároveň o donory, kteří mají s budováním kapacit realizátorů pro ZRS a nastavováním a implementací tohoto typu podpory výrazně více zkušeností než Česko. </w:t>
      </w:r>
    </w:p>
    <w:p w14:paraId="2E30125A" w14:textId="77777777" w:rsidR="00DA7E0D" w:rsidRPr="00CE217B" w:rsidRDefault="00DA7E0D" w:rsidP="00DA7E0D">
      <w:r w:rsidRPr="00CE217B">
        <w:rPr>
          <w:b/>
          <w:bCs/>
        </w:rPr>
        <w:t>Základním východiskem</w:t>
      </w:r>
      <w:r w:rsidRPr="00CE217B">
        <w:t xml:space="preserve"> tohoto textu jsou tzv. “</w:t>
      </w:r>
      <w:r w:rsidRPr="00CE217B">
        <w:rPr>
          <w:b/>
          <w:bCs/>
          <w:i/>
          <w:iCs/>
        </w:rPr>
        <w:t>OECD Development Co-</w:t>
      </w:r>
      <w:proofErr w:type="spellStart"/>
      <w:r w:rsidRPr="00CE217B">
        <w:rPr>
          <w:b/>
          <w:bCs/>
          <w:i/>
          <w:iCs/>
        </w:rPr>
        <w:t>operation</w:t>
      </w:r>
      <w:proofErr w:type="spellEnd"/>
      <w:r w:rsidRPr="00CE217B">
        <w:rPr>
          <w:b/>
          <w:bCs/>
          <w:i/>
          <w:iCs/>
        </w:rPr>
        <w:t xml:space="preserve"> Peer </w:t>
      </w:r>
      <w:proofErr w:type="spellStart"/>
      <w:r w:rsidRPr="00CE217B">
        <w:rPr>
          <w:b/>
          <w:bCs/>
          <w:i/>
          <w:iCs/>
        </w:rPr>
        <w:t>Reviews</w:t>
      </w:r>
      <w:proofErr w:type="spellEnd"/>
      <w:r w:rsidRPr="00CE217B">
        <w:t xml:space="preserve">” (OECD </w:t>
      </w:r>
      <w:proofErr w:type="spellStart"/>
      <w:r w:rsidRPr="00CE217B">
        <w:t>iLibrary</w:t>
      </w:r>
      <w:proofErr w:type="spellEnd"/>
      <w:r w:rsidRPr="00CE217B">
        <w:t>.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(online)). Výbor OECD pro rozvojovou pomoc (DAC) provádí pravidelné přezkumy úsilí jednotlivých členů DAC v oblasti rozvojové spolupráce (tzv. </w:t>
      </w:r>
      <w:r w:rsidRPr="00CE217B">
        <w:rPr>
          <w:i/>
          <w:iCs/>
        </w:rPr>
        <w:t xml:space="preserve">Peer </w:t>
      </w:r>
      <w:proofErr w:type="spellStart"/>
      <w:r w:rsidRPr="00CE217B">
        <w:rPr>
          <w:i/>
          <w:iCs/>
        </w:rPr>
        <w:t>Reviews</w:t>
      </w:r>
      <w:proofErr w:type="spellEnd"/>
      <w:r w:rsidRPr="00CE217B">
        <w:t xml:space="preserve">). Politiky a programy každého člena DAC jsou kriticky přezkoumávány přibližně jednou za pět let. Vzájemné hodnocení DAC hodnotí výkonnost daného člena, nejen jeho agentury pro rozvojovou spolupráci, a zkoumá jak samotnou politiku rozvojové spolupráce, tak její provádění. Posuzovatelé na činnosti hodnoceného </w:t>
      </w:r>
      <w:bookmarkEnd w:id="49"/>
      <w:r w:rsidRPr="00CE217B">
        <w:t xml:space="preserve">člena v oblasti rozvojové spolupráce a humanitární pomoci nahlížejí z </w:t>
      </w:r>
      <w:proofErr w:type="spellStart"/>
      <w:r w:rsidRPr="00CE217B">
        <w:t>celosystémového</w:t>
      </w:r>
      <w:proofErr w:type="spellEnd"/>
      <w:r w:rsidRPr="00CE217B">
        <w:t xml:space="preserve"> hlediska. Tato hodnocení zahrnují celou řadu faktorů, jako je např. způsob financování ZRS, vztah státu, resp. rozvojových agentur k organizacím občanské společnosti, podnikatelským subjektům apod. Původní záměr identifikovat v zahraničí „kapacitní programy“, které by mohly být inspirací pro český program, musel být </w:t>
      </w:r>
      <w:r w:rsidRPr="00CE217B">
        <w:lastRenderedPageBreak/>
        <w:t xml:space="preserve">modifikován na </w:t>
      </w:r>
      <w:r w:rsidRPr="00CE217B">
        <w:rPr>
          <w:b/>
          <w:bCs/>
        </w:rPr>
        <w:t>zaměření se na systémový přístup k financování realizátorů ZRS</w:t>
      </w:r>
      <w:r w:rsidRPr="00CE217B">
        <w:t>, protože u vyspělých donorů zcela dominuje.</w:t>
      </w:r>
    </w:p>
    <w:p w14:paraId="053CC7F6" w14:textId="77777777" w:rsidR="00DA7E0D" w:rsidRPr="00CE217B" w:rsidRDefault="00DA7E0D" w:rsidP="00DA7E0D">
      <w:r w:rsidRPr="00CE217B">
        <w:t xml:space="preserve">Z těchto hodnoticích zpráv lze vybrat několik příkladů, které mohou sloužit jako příklady dobré praxe. Tyto postupy identifikujeme i v jiných zemích, ale například méně intenzivně či s určitým zpožděním. Je ale evidentní, že země, které jsou v ZRS respektovanými hráči, uznávají podobné hodnoty a vzorce chování. Tento text obsahuje inspirativní vzory potenciálně aplikovatelné v českém prostředí, které jsou řazeny nejprve dle jednotlivých zemí (text názvu země zároveň obsahuje link na relevantní zdroj informací), v další části textu podle hlavních oblastí, které jsou relevantní pro Českou republiku. </w:t>
      </w:r>
    </w:p>
    <w:p w14:paraId="4D65514D" w14:textId="3D45CA37" w:rsidR="00DA7E0D" w:rsidRPr="00CE217B" w:rsidRDefault="00DA7E0D" w:rsidP="00B84ED1">
      <w:pPr>
        <w:pStyle w:val="Nadpis2"/>
        <w:numPr>
          <w:ilvl w:val="1"/>
          <w:numId w:val="16"/>
        </w:numPr>
        <w:rPr>
          <w:rFonts w:cs="Times New Roman"/>
        </w:rPr>
      </w:pPr>
      <w:bookmarkStart w:id="50" w:name="_Toc75263414"/>
      <w:r w:rsidRPr="00CE217B">
        <w:rPr>
          <w:rFonts w:cs="Times New Roman"/>
        </w:rPr>
        <w:t>Dobré praxe přes pohled na vybrané země</w:t>
      </w:r>
      <w:bookmarkStart w:id="51" w:name="_Hlk73646909"/>
      <w:bookmarkStart w:id="52" w:name="_Hlk73647586"/>
      <w:bookmarkStart w:id="53" w:name="_Hlk73648583"/>
      <w:bookmarkStart w:id="54" w:name="_Hlk73647067"/>
      <w:bookmarkEnd w:id="50"/>
      <w:bookmarkEnd w:id="51"/>
      <w:bookmarkEnd w:id="52"/>
      <w:bookmarkEnd w:id="53"/>
      <w:bookmarkEnd w:id="54"/>
    </w:p>
    <w:p w14:paraId="14EACC85" w14:textId="77777777" w:rsidR="00DA7E0D" w:rsidRPr="00CE217B" w:rsidRDefault="005857C4" w:rsidP="00DA7E0D">
      <w:pPr>
        <w:rPr>
          <w:b/>
          <w:bCs/>
        </w:rPr>
      </w:pPr>
      <w:hyperlink r:id="rId20">
        <w:r w:rsidR="00DA7E0D" w:rsidRPr="00CE217B">
          <w:rPr>
            <w:rStyle w:val="Hypertextovodkaz"/>
            <w:b/>
            <w:bCs/>
          </w:rPr>
          <w:t>Belgie</w:t>
        </w:r>
      </w:hyperlink>
      <w:r w:rsidR="00DA7E0D" w:rsidRPr="00CE217B">
        <w:rPr>
          <w:b/>
          <w:bCs/>
        </w:rPr>
        <w:t xml:space="preserve"> </w:t>
      </w:r>
    </w:p>
    <w:p w14:paraId="0EB4B687" w14:textId="77777777" w:rsidR="00DA7E0D" w:rsidRPr="00CE217B" w:rsidRDefault="00DA7E0D" w:rsidP="00DA7E0D">
      <w:pPr>
        <w:rPr>
          <w:i/>
          <w:iCs/>
          <w:u w:val="single"/>
        </w:rPr>
      </w:pPr>
      <w:r w:rsidRPr="00CE217B">
        <w:rPr>
          <w:i/>
          <w:iCs/>
          <w:u w:val="single"/>
        </w:rPr>
        <w:t>Oblast dobré praxe: Předvídatelnost a flexibilita</w:t>
      </w:r>
    </w:p>
    <w:p w14:paraId="45CB12F6" w14:textId="77777777" w:rsidR="00DA7E0D" w:rsidRPr="00CE217B" w:rsidRDefault="00DA7E0D" w:rsidP="00DA7E0D">
      <w:r w:rsidRPr="00CE217B">
        <w:t xml:space="preserve">Belgie využívá k financování svých partnerů předvídatelné a flexibilní nástroje. Vytvoření </w:t>
      </w:r>
      <w:r w:rsidRPr="00CE217B">
        <w:rPr>
          <w:b/>
          <w:bCs/>
        </w:rPr>
        <w:t xml:space="preserve">společných strategických rámců </w:t>
      </w:r>
      <w:r w:rsidRPr="00CE217B">
        <w:t>pro subjekty nevládní spolupráce se osvědčilo.</w:t>
      </w:r>
    </w:p>
    <w:p w14:paraId="1AA350DE" w14:textId="2EEEEF7E" w:rsidR="00DA7E0D" w:rsidRPr="00CE217B" w:rsidRDefault="00DA7E0D" w:rsidP="00DA7E0D">
      <w:r w:rsidRPr="00CE217B">
        <w:t>Aktéři belgické spolupráce jednomyslně uznávají význam partnerství při dosahování cílů udržitelného rozvoje (</w:t>
      </w:r>
      <w:proofErr w:type="spellStart"/>
      <w:r w:rsidRPr="00CE217B">
        <w:t>SDGs</w:t>
      </w:r>
      <w:proofErr w:type="spellEnd"/>
      <w:r w:rsidRPr="00CE217B">
        <w:t xml:space="preserve">). Z pohledu veřejné správy se to odráží </w:t>
      </w:r>
      <w:r w:rsidRPr="00CE217B">
        <w:rPr>
          <w:b/>
          <w:bCs/>
        </w:rPr>
        <w:t>v partnerských strategiích</w:t>
      </w:r>
      <w:r w:rsidRPr="00CE217B">
        <w:t>, které posilují mandát jednotlivých typů aktérů a také podpor</w:t>
      </w:r>
      <w:r w:rsidR="000678BD">
        <w:t>u</w:t>
      </w:r>
      <w:r w:rsidRPr="00CE217B">
        <w:t xml:space="preserve"> partnerství s více aktéry současně. Finanční mechanismus podporuje zejména právo občanské společnosti na iniciativu a normativní úlohu sítí a střešních organizací, přičemž </w:t>
      </w:r>
      <w:r w:rsidRPr="00CE217B">
        <w:rPr>
          <w:b/>
          <w:bCs/>
        </w:rPr>
        <w:t>financování směřuje do jejich centrálních rozpočtů</w:t>
      </w:r>
      <w:r w:rsidRPr="00CE217B">
        <w:t xml:space="preserve">. </w:t>
      </w:r>
    </w:p>
    <w:p w14:paraId="066224E7" w14:textId="77777777" w:rsidR="00DA7E0D" w:rsidRPr="00CE217B" w:rsidRDefault="00DA7E0D" w:rsidP="00DA7E0D">
      <w:r w:rsidRPr="00CE217B">
        <w:t xml:space="preserve">Belgie </w:t>
      </w:r>
      <w:r w:rsidRPr="00CE217B">
        <w:rPr>
          <w:b/>
          <w:bCs/>
        </w:rPr>
        <w:t>uznává úlohu občanské společnosti</w:t>
      </w:r>
      <w:r w:rsidRPr="00CE217B">
        <w:t xml:space="preserve"> včetně akademické komunity </w:t>
      </w:r>
      <w:r w:rsidRPr="00CE217B">
        <w:rPr>
          <w:b/>
          <w:bCs/>
        </w:rPr>
        <w:t>jako významného aktéra v oblasti rozvojové spolupráce</w:t>
      </w:r>
      <w:r w:rsidRPr="00CE217B">
        <w:t xml:space="preserve">. </w:t>
      </w:r>
      <w:bookmarkStart w:id="55" w:name="_Hlk73648820"/>
      <w:r w:rsidRPr="00CE217B">
        <w:t xml:space="preserve">Belgie se prostřednictvím svého partnerství s </w:t>
      </w:r>
      <w:bookmarkStart w:id="56" w:name="_Hlk75189040"/>
      <w:proofErr w:type="spellStart"/>
      <w:r w:rsidRPr="00CE217B">
        <w:t>NGAs</w:t>
      </w:r>
      <w:bookmarkEnd w:id="56"/>
      <w:proofErr w:type="spellEnd"/>
      <w:r w:rsidRPr="00CE217B">
        <w:rPr>
          <w:rStyle w:val="Znakapoznpodarou"/>
        </w:rPr>
        <w:footnoteReference w:id="8"/>
      </w:r>
      <w:r w:rsidRPr="00CE217B">
        <w:t xml:space="preserve"> (</w:t>
      </w:r>
      <w:bookmarkStart w:id="57" w:name="_Hlk75189048"/>
      <w:r w:rsidRPr="00CE217B">
        <w:rPr>
          <w:i/>
          <w:iCs/>
        </w:rPr>
        <w:t>non-</w:t>
      </w:r>
      <w:proofErr w:type="spellStart"/>
      <w:r w:rsidRPr="00CE217B">
        <w:rPr>
          <w:i/>
          <w:iCs/>
        </w:rPr>
        <w:t>government</w:t>
      </w:r>
      <w:proofErr w:type="spellEnd"/>
      <w:r w:rsidRPr="00CE217B">
        <w:rPr>
          <w:i/>
          <w:iCs/>
        </w:rPr>
        <w:t xml:space="preserve"> </w:t>
      </w:r>
      <w:proofErr w:type="spellStart"/>
      <w:r w:rsidRPr="00CE217B">
        <w:rPr>
          <w:i/>
          <w:iCs/>
        </w:rPr>
        <w:t>actors</w:t>
      </w:r>
      <w:bookmarkEnd w:id="57"/>
      <w:proofErr w:type="spellEnd"/>
      <w:r w:rsidRPr="00CE217B">
        <w:t xml:space="preserve">) snaží posílit kapacitu občanské společnosti prosazovat, uplatňovat a realizovat svá práva v rámci cílů udržitelného rozvoje a posilovat závazek veřejnosti k inkluzivnímu a udržitelnému mezinárodnímu rozvoji. Belgie zaručuje jejich autonomii prostřednictvím </w:t>
      </w:r>
      <w:r w:rsidRPr="00CE217B">
        <w:rPr>
          <w:b/>
          <w:bCs/>
        </w:rPr>
        <w:t>dlouhodobých a flexibilních mechanismů</w:t>
      </w:r>
      <w:r w:rsidRPr="00CE217B">
        <w:t xml:space="preserve"> </w:t>
      </w:r>
      <w:r w:rsidRPr="00CE217B">
        <w:rPr>
          <w:b/>
          <w:bCs/>
        </w:rPr>
        <w:t>financování</w:t>
      </w:r>
      <w:r w:rsidRPr="00CE217B">
        <w:t xml:space="preserve">. Belgie zavedla mechanismy financování, které svým partnerům umožňují soustředit se plně na jejich poslání. Toho je dosaženo zajištěním vysoce předvídatelného financování a flexibilní implementací. </w:t>
      </w:r>
      <w:proofErr w:type="spellStart"/>
      <w:r w:rsidRPr="00CE217B">
        <w:t>NGAs</w:t>
      </w:r>
      <w:proofErr w:type="spellEnd"/>
      <w:r w:rsidRPr="00CE217B">
        <w:t xml:space="preserve"> velmi oceňují víceleté financování a úsilí o </w:t>
      </w:r>
      <w:r w:rsidRPr="00CE217B">
        <w:rPr>
          <w:b/>
          <w:bCs/>
        </w:rPr>
        <w:t>rychlé platby</w:t>
      </w:r>
      <w:r w:rsidRPr="00CE217B">
        <w:t xml:space="preserve"> na začátku rozpočtového roku.</w:t>
      </w:r>
    </w:p>
    <w:bookmarkEnd w:id="55"/>
    <w:p w14:paraId="7E2E53A2" w14:textId="77777777" w:rsidR="00DA7E0D" w:rsidRPr="00CE217B" w:rsidRDefault="00DA7E0D" w:rsidP="00DA7E0D">
      <w:r w:rsidRPr="00CE217B">
        <w:t xml:space="preserve">Mechanismy reportování kladou důraz na relevanci, výsledky a učení a zároveň omezují administrativní náklady. </w:t>
      </w:r>
    </w:p>
    <w:p w14:paraId="3148B22A" w14:textId="1F668DB7" w:rsidR="00DA7E0D" w:rsidRPr="00CE217B" w:rsidRDefault="00DA7E0D" w:rsidP="00DA7E0D">
      <w:r w:rsidRPr="00CE217B">
        <w:t xml:space="preserve">Belgie zahájila ambiciózní proces racionalizace a konsolidace svých vztahů s belgickými </w:t>
      </w:r>
      <w:proofErr w:type="spellStart"/>
      <w:r w:rsidRPr="00CE217B">
        <w:t>NGAs</w:t>
      </w:r>
      <w:proofErr w:type="spellEnd"/>
      <w:r w:rsidRPr="00CE217B">
        <w:t xml:space="preserve"> kolem jednotného regulačního rámce. Nové způsoby jsou založeny kromě jiného na </w:t>
      </w:r>
      <w:r w:rsidRPr="00CE217B">
        <w:rPr>
          <w:b/>
          <w:bCs/>
        </w:rPr>
        <w:t>desetiletém akreditačním procesu</w:t>
      </w:r>
      <w:r w:rsidRPr="00CE217B">
        <w:t xml:space="preserve"> výběru partnerů, kteří jsou dostatečně silní k tomu, aby definovali, prováděli a sledovali výkon programů spolupráce, a přitom reprezentovali pestrost občanské společnosti (</w:t>
      </w:r>
      <w:r w:rsidRPr="00CE217B">
        <w:rPr>
          <w:color w:val="000000" w:themeColor="text1"/>
        </w:rPr>
        <w:t>OECD Development Co‑</w:t>
      </w:r>
      <w:proofErr w:type="spellStart"/>
      <w:r w:rsidRPr="00CE217B">
        <w:rPr>
          <w:color w:val="000000" w:themeColor="text1"/>
        </w:rPr>
        <w:t>operation</w:t>
      </w:r>
      <w:proofErr w:type="spellEnd"/>
      <w:r w:rsidRPr="00CE217B">
        <w:rPr>
          <w:color w:val="000000" w:themeColor="text1"/>
        </w:rPr>
        <w:t xml:space="preserve"> Peer </w:t>
      </w:r>
      <w:proofErr w:type="spellStart"/>
      <w:r w:rsidRPr="00CE217B">
        <w:rPr>
          <w:color w:val="000000" w:themeColor="text1"/>
        </w:rPr>
        <w:t>Reviews</w:t>
      </w:r>
      <w:proofErr w:type="spellEnd"/>
      <w:r w:rsidRPr="00CE217B">
        <w:rPr>
          <w:color w:val="000000" w:themeColor="text1"/>
        </w:rPr>
        <w:t xml:space="preserve">: </w:t>
      </w:r>
      <w:proofErr w:type="spellStart"/>
      <w:r w:rsidRPr="00CE217B">
        <w:rPr>
          <w:color w:val="000000" w:themeColor="text1"/>
        </w:rPr>
        <w:t>Belgium</w:t>
      </w:r>
      <w:proofErr w:type="spellEnd"/>
      <w:r w:rsidRPr="00CE217B">
        <w:rPr>
          <w:color w:val="000000" w:themeColor="text1"/>
        </w:rPr>
        <w:t xml:space="preserve"> (2020)).</w:t>
      </w:r>
    </w:p>
    <w:p w14:paraId="761B3BE5" w14:textId="77777777" w:rsidR="00CC0107" w:rsidRDefault="00CC0107">
      <w:pPr>
        <w:spacing w:before="0" w:after="0"/>
        <w:jc w:val="left"/>
      </w:pPr>
      <w:r>
        <w:br w:type="page"/>
      </w:r>
    </w:p>
    <w:p w14:paraId="4CE7BE63" w14:textId="00D7E93B" w:rsidR="00DA7E0D" w:rsidRPr="00CE217B" w:rsidRDefault="005857C4" w:rsidP="00DA7E0D">
      <w:pPr>
        <w:rPr>
          <w:b/>
          <w:bCs/>
        </w:rPr>
      </w:pPr>
      <w:hyperlink r:id="rId21">
        <w:r w:rsidR="00DA7E0D" w:rsidRPr="00CE217B">
          <w:rPr>
            <w:rStyle w:val="Hypertextovodkaz"/>
            <w:b/>
            <w:bCs/>
          </w:rPr>
          <w:t>Finsko</w:t>
        </w:r>
      </w:hyperlink>
    </w:p>
    <w:p w14:paraId="717FC097" w14:textId="77777777" w:rsidR="00DA7E0D" w:rsidRPr="00CE217B" w:rsidRDefault="00DA7E0D" w:rsidP="00DA7E0D">
      <w:pPr>
        <w:rPr>
          <w:i/>
          <w:iCs/>
          <w:u w:val="single"/>
        </w:rPr>
      </w:pPr>
      <w:r w:rsidRPr="00CE217B">
        <w:rPr>
          <w:i/>
          <w:iCs/>
          <w:u w:val="single"/>
        </w:rPr>
        <w:t>Oblast dobré praxe: Dobré načasování a flexibilita</w:t>
      </w:r>
    </w:p>
    <w:p w14:paraId="5B593D9B" w14:textId="3C577042" w:rsidR="00B652F5" w:rsidRPr="00B652F5" w:rsidRDefault="00DA7E0D" w:rsidP="00B652F5">
      <w:r w:rsidRPr="00CE217B">
        <w:t>Většina finančních prostředků (70 až 80 %) je přidělována na začátku roku, což zajišťuje důležitou likviditu, zbytek potom ve třetím čtvrtletí daného roku.</w:t>
      </w:r>
    </w:p>
    <w:p w14:paraId="6EA0F205" w14:textId="77777777" w:rsidR="00DA7E0D" w:rsidRPr="00CE217B" w:rsidRDefault="00DA7E0D" w:rsidP="00DA7E0D">
      <w:r w:rsidRPr="00CE217B">
        <w:t>Financování nevládních organizací je poměrně flexibilní a úpravy rozpočtu a prodloužení projektů bez dodatečných nákladů lze realizovat snadno (až na tři roky), ale období financování zatím nepřesahuje jeden rok. Celkově ovšem Finsko zajišťuje svým partnerům relativně vysokou míru flexibility, což je dobrá praxe.</w:t>
      </w:r>
    </w:p>
    <w:p w14:paraId="2F719591" w14:textId="77777777" w:rsidR="00DA7E0D" w:rsidRPr="00CE217B" w:rsidRDefault="00DA7E0D" w:rsidP="00DA7E0D">
      <w:pPr>
        <w:rPr>
          <w:i/>
          <w:iCs/>
          <w:u w:val="single"/>
        </w:rPr>
      </w:pPr>
      <w:r w:rsidRPr="00CE217B">
        <w:rPr>
          <w:i/>
          <w:iCs/>
          <w:u w:val="single"/>
        </w:rPr>
        <w:t>Oblast dobré praxe: Partnerství</w:t>
      </w:r>
    </w:p>
    <w:p w14:paraId="5A428F63" w14:textId="017A7876" w:rsidR="00DA7E0D" w:rsidRPr="00CE217B" w:rsidRDefault="00DA7E0D" w:rsidP="00DA7E0D">
      <w:r w:rsidRPr="00CE217B">
        <w:t xml:space="preserve">Sdílení informací a vztahy se stakeholdery jsou popisovány jako hladké a neformální. Finsko se snaží partnery v rámci rozvojové spolupráce přimět k efektivní spolupráci, a napomoci tak co nejlépe využít finské finanční prostředky. Disponuje </w:t>
      </w:r>
      <w:r w:rsidRPr="00CE217B">
        <w:rPr>
          <w:b/>
          <w:bCs/>
        </w:rPr>
        <w:t>jasnými metodickými pokyny</w:t>
      </w:r>
      <w:r w:rsidRPr="00CE217B">
        <w:t xml:space="preserve"> (</w:t>
      </w:r>
      <w:proofErr w:type="spellStart"/>
      <w:r w:rsidRPr="00CE217B">
        <w:rPr>
          <w:i/>
          <w:iCs/>
        </w:rPr>
        <w:t>guidelines</w:t>
      </w:r>
      <w:proofErr w:type="spellEnd"/>
      <w:r w:rsidRPr="00CE217B">
        <w:t xml:space="preserve">) </w:t>
      </w:r>
      <w:r w:rsidRPr="00CE217B">
        <w:rPr>
          <w:b/>
          <w:bCs/>
        </w:rPr>
        <w:t>pro práci s občanskou společností</w:t>
      </w:r>
      <w:r w:rsidRPr="00CE217B">
        <w:t>. Finští partneři z řad občanské společnosti jsou vyzýváni, aby spolupracovali s podnikatelským sektorem a přinesli do svých rozvojových snah nové dovednosti a perspektivy. Pokud jde o humanitární pomoc a rozvojovou spolupráci, je třeba dbát na to, aby se práce se soukromým sektorem jasně zaměřila na poskytování účinnější humanitární a rozvojové reakce, a ne pouze na výhody pro finské firmy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Finland</w:t>
      </w:r>
      <w:proofErr w:type="spellEnd"/>
      <w:r w:rsidRPr="00CE217B">
        <w:t xml:space="preserve"> (2017)).</w:t>
      </w:r>
    </w:p>
    <w:p w14:paraId="4683C220" w14:textId="77777777" w:rsidR="00DA7E0D" w:rsidRPr="00DA7E0D" w:rsidRDefault="005857C4" w:rsidP="00DA7E0D">
      <w:pPr>
        <w:rPr>
          <w:rStyle w:val="Hypertextovodkaz"/>
          <w:rFonts w:asciiTheme="minorHAnsi" w:hAnsiTheme="minorHAnsi" w:cstheme="minorBidi"/>
          <w:b/>
          <w:bCs/>
          <w:lang w:val="en-US"/>
        </w:rPr>
      </w:pPr>
      <w:hyperlink r:id="rId22" w:history="1">
        <w:r w:rsidR="00DA7E0D" w:rsidRPr="00DA7E0D">
          <w:rPr>
            <w:rStyle w:val="Hypertextovodkaz"/>
            <w:b/>
            <w:bCs/>
          </w:rPr>
          <w:t>Irsko</w:t>
        </w:r>
      </w:hyperlink>
      <w:r w:rsidR="00DA7E0D" w:rsidRPr="00DA7E0D">
        <w:rPr>
          <w:rStyle w:val="Hypertextovodkaz"/>
          <w:rFonts w:asciiTheme="minorHAnsi" w:hAnsiTheme="minorHAnsi" w:cstheme="minorBidi"/>
          <w:b/>
          <w:bCs/>
          <w:lang w:val="en-US"/>
        </w:rPr>
        <w:t xml:space="preserve"> </w:t>
      </w:r>
    </w:p>
    <w:p w14:paraId="47BB1473" w14:textId="77777777" w:rsidR="00DA7E0D" w:rsidRPr="00CE217B" w:rsidRDefault="00DA7E0D" w:rsidP="00DA7E0D">
      <w:r w:rsidRPr="00CE217B">
        <w:rPr>
          <w:i/>
          <w:iCs/>
          <w:u w:val="single"/>
        </w:rPr>
        <w:t>Oblast dobré praxe: Podpora a financování partnerství</w:t>
      </w:r>
    </w:p>
    <w:p w14:paraId="6F0C5CE9" w14:textId="1105CF73" w:rsidR="00DA7E0D" w:rsidRPr="00CE217B" w:rsidRDefault="00DA7E0D" w:rsidP="00DA7E0D">
      <w:r w:rsidRPr="00CE217B">
        <w:t xml:space="preserve">Na základě osvědčených postupů financování, včetně </w:t>
      </w:r>
      <w:r w:rsidRPr="00CE217B">
        <w:rPr>
          <w:b/>
          <w:bCs/>
        </w:rPr>
        <w:t>víceletého financování</w:t>
      </w:r>
      <w:r w:rsidRPr="00CE217B">
        <w:t xml:space="preserve">, Irsko usiluje o </w:t>
      </w:r>
      <w:r w:rsidRPr="00CE217B">
        <w:rPr>
          <w:b/>
          <w:bCs/>
        </w:rPr>
        <w:t>zintenzivnění strategického dialogu se svými partnery</w:t>
      </w:r>
      <w:r w:rsidRPr="00CE217B">
        <w:t xml:space="preserve">. Irsko chce rovněž posílit partnerství v oblasti výzkumu a zintenzivnit dialog </w:t>
      </w:r>
      <w:r w:rsidRPr="00CE217B">
        <w:rPr>
          <w:b/>
          <w:bCs/>
        </w:rPr>
        <w:t>se subjekty soukromého sektoru</w:t>
      </w:r>
      <w:r w:rsidRPr="00CE217B">
        <w:t xml:space="preserve">. Irsko poskytuje v případě potřeby předvídatelné financování prostřednictvím </w:t>
      </w:r>
      <w:r w:rsidRPr="00CE217B">
        <w:rPr>
          <w:b/>
          <w:bCs/>
        </w:rPr>
        <w:t>víceletých smluv</w:t>
      </w:r>
      <w:r w:rsidRPr="00CE217B">
        <w:t>. Například příspěvky 13 irským nevládním organizacím v roce 2017 byly vázány až na dobu 5 let, přičemž výše grantů se pohybovala od 500 tisíc EUR do 20 milionů EUR, což představuje celkovou předpokládanou výši 320 milionů EUR (2017-2021)</w:t>
      </w:r>
      <w:r w:rsidR="00CC0107">
        <w:t>. P</w:t>
      </w:r>
      <w:r w:rsidRPr="00CE217B">
        <w:t>artneři mají velkou flexibilitu při využívání svých finančních prostředků. V případě humanitární pomoci jsou nyní běžné dohody na dobu až 3 let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Ireland</w:t>
      </w:r>
      <w:proofErr w:type="spellEnd"/>
      <w:r w:rsidRPr="00CE217B">
        <w:t xml:space="preserve"> (2020)). </w:t>
      </w:r>
    </w:p>
    <w:p w14:paraId="0BACC345" w14:textId="26F430F1" w:rsidR="00DA7E0D" w:rsidRPr="00CE217B" w:rsidRDefault="00DA7E0D" w:rsidP="00DA7E0D">
      <w:r w:rsidRPr="00CE217B">
        <w:t xml:space="preserve">Irsko také při financování organizací občanské společnosti dobře využívá společné přístupy s ostatními rozvojovými partnery, včetně například </w:t>
      </w:r>
      <w:r w:rsidRPr="00CE217B">
        <w:rPr>
          <w:b/>
          <w:bCs/>
        </w:rPr>
        <w:t>sdružených fondů</w:t>
      </w:r>
      <w:r w:rsidRPr="00CE217B">
        <w:t xml:space="preserve"> (</w:t>
      </w:r>
      <w:proofErr w:type="spellStart"/>
      <w:r w:rsidRPr="00CE217B">
        <w:rPr>
          <w:i/>
          <w:iCs/>
        </w:rPr>
        <w:t>pooled</w:t>
      </w:r>
      <w:proofErr w:type="spellEnd"/>
      <w:r w:rsidRPr="00CE217B">
        <w:rPr>
          <w:i/>
          <w:iCs/>
        </w:rPr>
        <w:t xml:space="preserve"> </w:t>
      </w:r>
      <w:proofErr w:type="spellStart"/>
      <w:r w:rsidRPr="00CE217B">
        <w:rPr>
          <w:i/>
          <w:iCs/>
        </w:rPr>
        <w:t>funds</w:t>
      </w:r>
      <w:proofErr w:type="spellEnd"/>
      <w:r w:rsidRPr="00CE217B">
        <w:t>), které snižují zátěž spojenou s podáváním zpráv a jsou považovány za většinou účinnější než jednotlivé programy.</w:t>
      </w:r>
    </w:p>
    <w:p w14:paraId="7DCBF458" w14:textId="77777777" w:rsidR="00DA7E0D" w:rsidRPr="00CE217B" w:rsidRDefault="005857C4" w:rsidP="00DA7E0D">
      <w:pPr>
        <w:rPr>
          <w:b/>
          <w:bCs/>
        </w:rPr>
      </w:pPr>
      <w:hyperlink r:id="rId23">
        <w:r w:rsidR="00DA7E0D" w:rsidRPr="00CE217B">
          <w:rPr>
            <w:rStyle w:val="Hypertextovodkaz"/>
            <w:b/>
            <w:bCs/>
          </w:rPr>
          <w:t>Itálie</w:t>
        </w:r>
      </w:hyperlink>
    </w:p>
    <w:p w14:paraId="1469E2B6" w14:textId="77777777" w:rsidR="00DA7E0D" w:rsidRPr="00CE217B" w:rsidRDefault="00DA7E0D" w:rsidP="00DA7E0D">
      <w:pPr>
        <w:rPr>
          <w:i/>
          <w:iCs/>
          <w:u w:val="single"/>
        </w:rPr>
      </w:pPr>
      <w:r w:rsidRPr="00CE217B">
        <w:rPr>
          <w:i/>
          <w:iCs/>
          <w:u w:val="single"/>
        </w:rPr>
        <w:t>Oblast dobré praxe: Spolupráce se soukromým sektorem a role sítí</w:t>
      </w:r>
    </w:p>
    <w:p w14:paraId="3D2B14A4" w14:textId="77777777" w:rsidR="00DA7E0D" w:rsidRPr="00CE217B" w:rsidRDefault="00DA7E0D" w:rsidP="00DA7E0D">
      <w:r w:rsidRPr="00CE217B">
        <w:t xml:space="preserve">Italský </w:t>
      </w:r>
      <w:r w:rsidRPr="00CE217B">
        <w:rPr>
          <w:b/>
          <w:bCs/>
        </w:rPr>
        <w:t>soukromý sektor</w:t>
      </w:r>
      <w:r w:rsidRPr="00CE217B">
        <w:t xml:space="preserve"> je nyní také </w:t>
      </w:r>
      <w:r w:rsidRPr="00CE217B">
        <w:rPr>
          <w:b/>
          <w:bCs/>
        </w:rPr>
        <w:t>uznáván jako formální aktér rozvojové spolupráce</w:t>
      </w:r>
      <w:r w:rsidRPr="00CE217B">
        <w:t xml:space="preserve"> a firmy, které získávají spolufinancování, jsou povinny dodržovat zásady UN </w:t>
      </w:r>
      <w:proofErr w:type="spellStart"/>
      <w:r w:rsidRPr="00CE217B">
        <w:t>Global</w:t>
      </w:r>
      <w:proofErr w:type="spellEnd"/>
      <w:r w:rsidRPr="00CE217B">
        <w:t xml:space="preserve"> </w:t>
      </w:r>
      <w:proofErr w:type="spellStart"/>
      <w:r w:rsidRPr="00CE217B">
        <w:t>Compact</w:t>
      </w:r>
      <w:proofErr w:type="spellEnd"/>
      <w:r w:rsidRPr="00CE217B">
        <w:t>. V roce 2018 Itálie rozšířila kritéria pro svůj registr organizací občanské společnosti např. o nadace či družstva, ve snaze lépe reflektovat institucionální spektrum občanské společnosti.</w:t>
      </w:r>
    </w:p>
    <w:p w14:paraId="485FF1B0" w14:textId="01064FF1" w:rsidR="00DA7E0D" w:rsidRPr="00CE217B" w:rsidRDefault="00DA7E0D" w:rsidP="00DA7E0D">
      <w:r w:rsidRPr="00CE217B">
        <w:t xml:space="preserve">Itálie uvádí jako jednu ze svých komparativních výhod </w:t>
      </w:r>
      <w:r w:rsidRPr="00CE217B">
        <w:rPr>
          <w:b/>
          <w:bCs/>
        </w:rPr>
        <w:t>rozsáhlou síť</w:t>
      </w:r>
      <w:r w:rsidRPr="00CE217B">
        <w:t xml:space="preserve"> italských organizací občanské společnosti a humanitárních nevládních organizací. Většina těchto organizací občanské společnosti je malé až střední velikosti, ale jsou organizovány v různých sítích za účelem zvýšení svého vlivu. Mnohé z nich jsou </w:t>
      </w:r>
      <w:r w:rsidRPr="00CE217B">
        <w:rPr>
          <w:b/>
          <w:bCs/>
        </w:rPr>
        <w:t>financovány prostřednictvím vlastních zdrojů a prostřednictvím decentralizované podpory</w:t>
      </w:r>
      <w:r w:rsidRPr="00CE217B">
        <w:t xml:space="preserve">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Italy (2019)). </w:t>
      </w:r>
    </w:p>
    <w:p w14:paraId="23C7C069" w14:textId="77777777" w:rsidR="00DA7E0D" w:rsidRPr="00CE217B" w:rsidRDefault="005857C4" w:rsidP="00DA7E0D">
      <w:pPr>
        <w:rPr>
          <w:b/>
          <w:bCs/>
        </w:rPr>
      </w:pPr>
      <w:hyperlink r:id="rId24">
        <w:r w:rsidR="00DA7E0D" w:rsidRPr="00CE217B">
          <w:rPr>
            <w:rStyle w:val="Hypertextovodkaz"/>
            <w:b/>
            <w:bCs/>
          </w:rPr>
          <w:t>Kanada</w:t>
        </w:r>
      </w:hyperlink>
    </w:p>
    <w:p w14:paraId="412D3CF5" w14:textId="77777777" w:rsidR="00DA7E0D" w:rsidRPr="00CE217B" w:rsidRDefault="00DA7E0D" w:rsidP="00DA7E0D">
      <w:pPr>
        <w:rPr>
          <w:i/>
          <w:iCs/>
          <w:u w:val="single"/>
        </w:rPr>
      </w:pPr>
      <w:r w:rsidRPr="00CE217B">
        <w:rPr>
          <w:i/>
          <w:iCs/>
          <w:u w:val="single"/>
        </w:rPr>
        <w:t>Oblast dobré praxe: Partnerství a koherence politik</w:t>
      </w:r>
    </w:p>
    <w:p w14:paraId="7F886169" w14:textId="6A35817A" w:rsidR="00DA7E0D" w:rsidRPr="00CE217B" w:rsidRDefault="00DA7E0D" w:rsidP="00DA7E0D">
      <w:r w:rsidRPr="00CE217B">
        <w:t xml:space="preserve">V roce 2013 byla bývalá </w:t>
      </w:r>
      <w:proofErr w:type="spellStart"/>
      <w:r w:rsidRPr="00CE217B">
        <w:rPr>
          <w:b/>
          <w:bCs/>
        </w:rPr>
        <w:t>Canadian</w:t>
      </w:r>
      <w:proofErr w:type="spellEnd"/>
      <w:r w:rsidRPr="00CE217B">
        <w:rPr>
          <w:b/>
          <w:bCs/>
        </w:rPr>
        <w:t xml:space="preserve"> International Development </w:t>
      </w:r>
      <w:proofErr w:type="spellStart"/>
      <w:r w:rsidRPr="00CE217B">
        <w:rPr>
          <w:b/>
          <w:bCs/>
        </w:rPr>
        <w:t>Agency</w:t>
      </w:r>
      <w:proofErr w:type="spellEnd"/>
      <w:r w:rsidRPr="00CE217B">
        <w:t xml:space="preserve"> (CIDA) </w:t>
      </w:r>
      <w:r w:rsidRPr="00CE217B">
        <w:rPr>
          <w:b/>
          <w:bCs/>
        </w:rPr>
        <w:t>sloučena s ministerstvem</w:t>
      </w:r>
      <w:r w:rsidRPr="00CE217B">
        <w:t xml:space="preserve"> zahraničních věcí a mezinárodního obchodu (Department </w:t>
      </w:r>
      <w:proofErr w:type="spellStart"/>
      <w:r w:rsidRPr="00CE217B">
        <w:t>of</w:t>
      </w:r>
      <w:proofErr w:type="spellEnd"/>
      <w:r w:rsidRPr="00CE217B">
        <w:t xml:space="preserve"> </w:t>
      </w:r>
      <w:proofErr w:type="spellStart"/>
      <w:r w:rsidRPr="00CE217B">
        <w:t>Foreign</w:t>
      </w:r>
      <w:proofErr w:type="spellEnd"/>
      <w:r w:rsidRPr="00CE217B">
        <w:t xml:space="preserve"> </w:t>
      </w:r>
      <w:proofErr w:type="spellStart"/>
      <w:r w:rsidRPr="00CE217B">
        <w:t>Affairs</w:t>
      </w:r>
      <w:proofErr w:type="spellEnd"/>
      <w:r w:rsidRPr="00CE217B">
        <w:t xml:space="preserve"> and International </w:t>
      </w:r>
      <w:proofErr w:type="spellStart"/>
      <w:r w:rsidRPr="00CE217B">
        <w:t>Trade</w:t>
      </w:r>
      <w:proofErr w:type="spellEnd"/>
      <w:r w:rsidRPr="00CE217B">
        <w:t xml:space="preserve">) s cílem zlepšit účinnost, sladit strategické přístupy a dosáhnout lepších výsledků. Zatímco oficiální název zůstává nezměněn, jeho běžně užívaný název byl později změněn na </w:t>
      </w:r>
      <w:proofErr w:type="spellStart"/>
      <w:r w:rsidRPr="00CE217B">
        <w:t>Global</w:t>
      </w:r>
      <w:proofErr w:type="spellEnd"/>
      <w:r w:rsidRPr="00CE217B">
        <w:t xml:space="preserve"> </w:t>
      </w:r>
      <w:proofErr w:type="spellStart"/>
      <w:r w:rsidRPr="00CE217B">
        <w:t>Affairs</w:t>
      </w:r>
      <w:proofErr w:type="spellEnd"/>
      <w:r w:rsidRPr="00CE217B">
        <w:t xml:space="preserve"> </w:t>
      </w:r>
      <w:proofErr w:type="spellStart"/>
      <w:r w:rsidRPr="00CE217B">
        <w:t>Canada</w:t>
      </w:r>
      <w:proofErr w:type="spellEnd"/>
      <w:r w:rsidRPr="00CE217B">
        <w:t>.</w:t>
      </w:r>
    </w:p>
    <w:p w14:paraId="2E0DF441" w14:textId="77777777" w:rsidR="00DA7E0D" w:rsidRPr="00CE217B" w:rsidRDefault="00DA7E0D" w:rsidP="00DA7E0D">
      <w:r w:rsidRPr="00CE217B">
        <w:t xml:space="preserve">Kanadské </w:t>
      </w:r>
      <w:r w:rsidRPr="00CE217B">
        <w:rPr>
          <w:b/>
          <w:bCs/>
        </w:rPr>
        <w:t xml:space="preserve">neziskové organizace </w:t>
      </w:r>
      <w:r w:rsidRPr="00CE217B">
        <w:t xml:space="preserve">jsou </w:t>
      </w:r>
      <w:r w:rsidRPr="00CE217B">
        <w:rPr>
          <w:b/>
          <w:bCs/>
        </w:rPr>
        <w:t>považovány za klíčové partnery</w:t>
      </w:r>
      <w:r w:rsidRPr="00CE217B">
        <w:t xml:space="preserve"> při podpoře místního rozvoje, při prosazování globálního porozumění a při realizaci kanadské zahraniční pomoci. Organizace občanské společnosti jsou však také činiteli změny a samostatnými aktéry a hrají zásadní roli při podpoře a </w:t>
      </w:r>
      <w:r w:rsidRPr="00CE217B">
        <w:rPr>
          <w:b/>
          <w:bCs/>
        </w:rPr>
        <w:t>budování kapacit</w:t>
      </w:r>
      <w:r w:rsidRPr="00CE217B">
        <w:t xml:space="preserve"> mezi svými </w:t>
      </w:r>
      <w:r w:rsidRPr="00CE217B">
        <w:rPr>
          <w:b/>
          <w:bCs/>
        </w:rPr>
        <w:t>partnery v rozvojových zemích</w:t>
      </w:r>
      <w:r w:rsidRPr="00CE217B">
        <w:t xml:space="preserve">. </w:t>
      </w:r>
    </w:p>
    <w:p w14:paraId="686025DF" w14:textId="77777777" w:rsidR="00DA7E0D" w:rsidRPr="00CE217B" w:rsidRDefault="00DA7E0D" w:rsidP="00DA7E0D">
      <w:r w:rsidRPr="00CE217B">
        <w:t xml:space="preserve">Kanada má dobře zavedené struktury a mechanismy zajišťující </w:t>
      </w:r>
      <w:r w:rsidRPr="00CE217B">
        <w:rPr>
          <w:b/>
          <w:bCs/>
        </w:rPr>
        <w:t>soudržnost politik</w:t>
      </w:r>
      <w:r w:rsidRPr="00CE217B">
        <w:t xml:space="preserve"> a spolupráci napříč ministerstvy a agenturami. To umožňuje </w:t>
      </w:r>
      <w:proofErr w:type="spellStart"/>
      <w:r w:rsidRPr="00CE217B">
        <w:t>Global</w:t>
      </w:r>
      <w:proofErr w:type="spellEnd"/>
      <w:r w:rsidRPr="00CE217B">
        <w:t xml:space="preserve"> </w:t>
      </w:r>
      <w:proofErr w:type="spellStart"/>
      <w:r w:rsidRPr="00CE217B">
        <w:t>Affairs</w:t>
      </w:r>
      <w:proofErr w:type="spellEnd"/>
      <w:r w:rsidRPr="00CE217B">
        <w:t xml:space="preserve"> </w:t>
      </w:r>
      <w:proofErr w:type="spellStart"/>
      <w:r w:rsidRPr="00CE217B">
        <w:t>Canada</w:t>
      </w:r>
      <w:proofErr w:type="spellEnd"/>
      <w:r w:rsidRPr="00CE217B">
        <w:t xml:space="preserve"> identifikovat možné negativní dopady jednotlivých politik a regulatorních opatření na rozvojové země a ZRS. Tyto mechanismy by však mohly být proaktivněji využívány k identifikaci a analýze stávajících kanadských politik a předpisů, které mohou rozvojovým zemím bránit v příležitostech usilovat o jejich rozvojové možnosti a dosáhnout cílů udržitelného rozvoje. </w:t>
      </w:r>
    </w:p>
    <w:p w14:paraId="4B99C80F" w14:textId="77777777" w:rsidR="00DA7E0D" w:rsidRPr="00CE217B" w:rsidRDefault="00DA7E0D" w:rsidP="00DA7E0D">
      <w:r w:rsidRPr="00CE217B">
        <w:t xml:space="preserve">V rámci své politiky Kanada zdůrazňuje zásadní roli, kterou hraje </w:t>
      </w:r>
      <w:r w:rsidRPr="00CE217B">
        <w:rPr>
          <w:b/>
          <w:bCs/>
        </w:rPr>
        <w:t>občanská společnost</w:t>
      </w:r>
      <w:r w:rsidRPr="00CE217B">
        <w:t xml:space="preserve"> </w:t>
      </w:r>
      <w:r w:rsidRPr="00CE217B">
        <w:rPr>
          <w:b/>
          <w:bCs/>
        </w:rPr>
        <w:t>v oblasti ZRS</w:t>
      </w:r>
      <w:r w:rsidRPr="00CE217B">
        <w:t xml:space="preserve"> </w:t>
      </w:r>
      <w:r w:rsidRPr="00CE217B">
        <w:rPr>
          <w:b/>
          <w:bCs/>
        </w:rPr>
        <w:t>jako aktér a nositel změn</w:t>
      </w:r>
      <w:r w:rsidRPr="00CE217B">
        <w:t>. Zdůrazňuje důležitost zapojení celého spektra stakeholderů do rozvojové pomoci a potřebu předvídatelného, bezpečného a vstřícného prostředí pro organizace občanské společnosti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Canada</w:t>
      </w:r>
      <w:proofErr w:type="spellEnd"/>
      <w:r w:rsidRPr="00CE217B">
        <w:t xml:space="preserve"> (2018)). To je dobrá praxe. </w:t>
      </w:r>
    </w:p>
    <w:p w14:paraId="4942CA78" w14:textId="3B315C8D" w:rsidR="00DA7E0D" w:rsidRPr="00CE217B" w:rsidRDefault="00DA7E0D" w:rsidP="00DA7E0D">
      <w:pPr>
        <w:rPr>
          <w:b/>
          <w:bCs/>
        </w:rPr>
      </w:pPr>
      <w:r w:rsidRPr="00CE217B">
        <w:t xml:space="preserve">Kanada je dlouhodobě považována za lídra, pokud jde o podporu příznivého prostředí pro občanskou společnost a uznávání organizací občanské společnosti jako samostatných aktérů ZRS. </w:t>
      </w:r>
      <w:r w:rsidRPr="00CE217B">
        <w:rPr>
          <w:b/>
          <w:bCs/>
        </w:rPr>
        <w:t xml:space="preserve">Nová politika partnerství s občanskou společností </w:t>
      </w:r>
      <w:r w:rsidRPr="00CE217B">
        <w:t>byla přijata v září 2017 a kanadská občanská společnost ji obecně vítá. Nová politika slibuje předvídatelnější, spravedlivější, pružnější a transparentnější mechanismy financování</w:t>
      </w:r>
      <w:r w:rsidR="00153D5C">
        <w:t>.</w:t>
      </w:r>
      <w:r w:rsidRPr="00CE217B">
        <w:t xml:space="preserve"> Kanada postupně zavádí </w:t>
      </w:r>
      <w:r w:rsidRPr="00CE217B">
        <w:rPr>
          <w:b/>
          <w:bCs/>
        </w:rPr>
        <w:t>nové procesy pro uzavírání smluv s organizacemi občanské společnosti</w:t>
      </w:r>
      <w:r w:rsidRPr="00CE217B">
        <w:t xml:space="preserve">, včetně </w:t>
      </w:r>
      <w:r w:rsidRPr="00CE217B">
        <w:rPr>
          <w:b/>
          <w:bCs/>
        </w:rPr>
        <w:t>dvoustupňových výzev k předkládání návrhů</w:t>
      </w:r>
      <w:r w:rsidRPr="00CE217B">
        <w:t>, kalendáře dotačních výzev, delší období financování a zjednodušené požadavky na podávání zpráv a administraci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Canada</w:t>
      </w:r>
      <w:proofErr w:type="spellEnd"/>
      <w:r w:rsidRPr="00CE217B">
        <w:t xml:space="preserve"> (2018)).</w:t>
      </w:r>
    </w:p>
    <w:p w14:paraId="225E3A22" w14:textId="77777777" w:rsidR="00DA7E0D" w:rsidRPr="00CE217B" w:rsidRDefault="005857C4" w:rsidP="00DA7E0D">
      <w:pPr>
        <w:rPr>
          <w:b/>
          <w:bCs/>
        </w:rPr>
      </w:pPr>
      <w:hyperlink r:id="rId25">
        <w:r w:rsidR="00DA7E0D" w:rsidRPr="00CE217B">
          <w:rPr>
            <w:rStyle w:val="Hypertextovodkaz"/>
            <w:b/>
            <w:bCs/>
          </w:rPr>
          <w:t>Nizozemsko</w:t>
        </w:r>
      </w:hyperlink>
      <w:r w:rsidR="00DA7E0D" w:rsidRPr="00CE217B">
        <w:rPr>
          <w:b/>
          <w:bCs/>
        </w:rPr>
        <w:t xml:space="preserve"> </w:t>
      </w:r>
    </w:p>
    <w:p w14:paraId="13E8EA58" w14:textId="77777777" w:rsidR="00DA7E0D" w:rsidRPr="00CE217B" w:rsidRDefault="00DA7E0D" w:rsidP="00DA7E0D">
      <w:pPr>
        <w:rPr>
          <w:i/>
          <w:iCs/>
          <w:u w:val="single"/>
        </w:rPr>
      </w:pPr>
      <w:r w:rsidRPr="00CE217B">
        <w:rPr>
          <w:i/>
          <w:iCs/>
          <w:u w:val="single"/>
        </w:rPr>
        <w:t>Oblast dobré praxe: Partnerský charakter ZRS</w:t>
      </w:r>
    </w:p>
    <w:p w14:paraId="6972EA16" w14:textId="77777777" w:rsidR="00DA7E0D" w:rsidRPr="00CE217B" w:rsidRDefault="00DA7E0D" w:rsidP="00DA7E0D">
      <w:r w:rsidRPr="00CE217B">
        <w:t xml:space="preserve">Povaha vztahů k organizacím občanské společnosti se mění. Existuje zde silný tlak na zachování nezávislosti neziskových organizací na veřejných financích, což v důsledku znamená odklon od prostého </w:t>
      </w:r>
      <w:proofErr w:type="spellStart"/>
      <w:r w:rsidRPr="00CE217B">
        <w:rPr>
          <w:i/>
          <w:iCs/>
        </w:rPr>
        <w:t>core</w:t>
      </w:r>
      <w:proofErr w:type="spellEnd"/>
      <w:r w:rsidRPr="00CE217B">
        <w:rPr>
          <w:i/>
          <w:iCs/>
        </w:rPr>
        <w:t xml:space="preserve"> </w:t>
      </w:r>
      <w:proofErr w:type="spellStart"/>
      <w:r w:rsidRPr="00CE217B">
        <w:rPr>
          <w:i/>
          <w:iCs/>
        </w:rPr>
        <w:t>funding</w:t>
      </w:r>
      <w:proofErr w:type="spellEnd"/>
      <w:r w:rsidRPr="00CE217B">
        <w:rPr>
          <w:i/>
          <w:iCs/>
        </w:rPr>
        <w:t xml:space="preserve">, </w:t>
      </w:r>
      <w:r w:rsidRPr="00CE217B">
        <w:t xml:space="preserve">jak je většinou vnímáno. Namísto toho mohou organizace </w:t>
      </w:r>
      <w:r w:rsidRPr="00CE217B">
        <w:rPr>
          <w:b/>
          <w:bCs/>
        </w:rPr>
        <w:t>soutěžit o granty v jednotlivých tematických oblastech</w:t>
      </w:r>
      <w:r w:rsidRPr="00CE217B">
        <w:t xml:space="preserve">. Je dán </w:t>
      </w:r>
      <w:r w:rsidRPr="00CE217B">
        <w:rPr>
          <w:b/>
          <w:bCs/>
        </w:rPr>
        <w:t>velký prostor</w:t>
      </w:r>
      <w:r w:rsidRPr="00CE217B">
        <w:t xml:space="preserve"> pro to, aby </w:t>
      </w:r>
      <w:r w:rsidRPr="00CE217B">
        <w:rPr>
          <w:b/>
          <w:bCs/>
        </w:rPr>
        <w:t xml:space="preserve">NNO </w:t>
      </w:r>
      <w:r w:rsidRPr="00CE217B">
        <w:t xml:space="preserve">mohly </w:t>
      </w:r>
      <w:r w:rsidRPr="00CE217B">
        <w:rPr>
          <w:b/>
          <w:bCs/>
        </w:rPr>
        <w:t>uplatňovat své vlastní přístupy</w:t>
      </w:r>
      <w:r w:rsidRPr="00CE217B">
        <w:t>, kdy se pohybují v obecných rámcích, ale aplikované postupy jsou zcela na jejich rozhodnutí. Tento princip je nazýván „</w:t>
      </w:r>
      <w:proofErr w:type="spellStart"/>
      <w:r w:rsidRPr="00CE217B">
        <w:rPr>
          <w:b/>
          <w:bCs/>
          <w:i/>
          <w:iCs/>
        </w:rPr>
        <w:t>dialogue</w:t>
      </w:r>
      <w:proofErr w:type="spellEnd"/>
      <w:r w:rsidRPr="00CE217B">
        <w:rPr>
          <w:b/>
          <w:bCs/>
          <w:i/>
          <w:iCs/>
        </w:rPr>
        <w:t xml:space="preserve"> and </w:t>
      </w:r>
      <w:proofErr w:type="spellStart"/>
      <w:r w:rsidRPr="00CE217B">
        <w:rPr>
          <w:b/>
          <w:bCs/>
          <w:i/>
          <w:iCs/>
        </w:rPr>
        <w:t>dissent</w:t>
      </w:r>
      <w:proofErr w:type="spellEnd"/>
      <w:r w:rsidRPr="00CE217B">
        <w:t>“, stejně jako odpovídající politický dokument</w:t>
      </w:r>
      <w:r w:rsidRPr="00CE217B">
        <w:rPr>
          <w:rStyle w:val="Znakapoznpodarou"/>
        </w:rPr>
        <w:footnoteReference w:id="9"/>
      </w:r>
      <w:r w:rsidRPr="00CE217B">
        <w:t xml:space="preserve">. </w:t>
      </w:r>
    </w:p>
    <w:p w14:paraId="788B5011" w14:textId="77777777" w:rsidR="00DA7E0D" w:rsidRPr="00CE217B" w:rsidRDefault="00DA7E0D" w:rsidP="00DA7E0D">
      <w:pPr>
        <w:rPr>
          <w:i/>
          <w:iCs/>
          <w:u w:val="single"/>
        </w:rPr>
      </w:pPr>
      <w:r w:rsidRPr="00CE217B">
        <w:rPr>
          <w:i/>
          <w:iCs/>
          <w:u w:val="single"/>
        </w:rPr>
        <w:t>Oblast dobré praxe: Financování partnerství na principu „</w:t>
      </w:r>
      <w:proofErr w:type="spellStart"/>
      <w:r w:rsidRPr="00CE217B">
        <w:rPr>
          <w:i/>
          <w:iCs/>
          <w:u w:val="single"/>
        </w:rPr>
        <w:t>dialogue</w:t>
      </w:r>
      <w:proofErr w:type="spellEnd"/>
      <w:r w:rsidRPr="00CE217B">
        <w:rPr>
          <w:i/>
          <w:iCs/>
          <w:u w:val="single"/>
        </w:rPr>
        <w:t xml:space="preserve"> and </w:t>
      </w:r>
      <w:proofErr w:type="spellStart"/>
      <w:r w:rsidRPr="00CE217B">
        <w:rPr>
          <w:i/>
          <w:iCs/>
          <w:u w:val="single"/>
        </w:rPr>
        <w:t>dissent</w:t>
      </w:r>
      <w:proofErr w:type="spellEnd"/>
      <w:r w:rsidRPr="00CE217B">
        <w:rPr>
          <w:i/>
          <w:iCs/>
          <w:u w:val="single"/>
        </w:rPr>
        <w:t>“</w:t>
      </w:r>
    </w:p>
    <w:p w14:paraId="138B829B" w14:textId="77777777" w:rsidR="00DA7E0D" w:rsidRPr="00CE217B" w:rsidRDefault="00DA7E0D" w:rsidP="00DA7E0D">
      <w:r w:rsidRPr="00CE217B">
        <w:t xml:space="preserve">NNO jsou vlastně vyzývány k tomu, aby oponovaly vládě, kontrolovaly ji a přicházely s inovativními postupy. To vše je </w:t>
      </w:r>
      <w:r w:rsidRPr="00CE217B">
        <w:rPr>
          <w:b/>
          <w:bCs/>
        </w:rPr>
        <w:t>založeno na uznání klíčové role NNO</w:t>
      </w:r>
      <w:r w:rsidRPr="00CE217B">
        <w:t xml:space="preserve"> </w:t>
      </w:r>
      <w:r w:rsidRPr="00CE217B">
        <w:rPr>
          <w:b/>
          <w:bCs/>
        </w:rPr>
        <w:t>v oblasti ZRS</w:t>
      </w:r>
      <w:r w:rsidRPr="00CE217B">
        <w:t xml:space="preserve"> a prosazování společenských změn. Tento typ vztahu vyžaduje vzájemně kritický přístup partnerů. Vyjádřením rozdílných postojů si partneři navzájem </w:t>
      </w:r>
      <w:r w:rsidRPr="00CE217B">
        <w:lastRenderedPageBreak/>
        <w:t xml:space="preserve">pomáhají „udržet pozornost“ a vyjasnit si vzájemně stanoviska. Jejich </w:t>
      </w:r>
      <w:r w:rsidRPr="00CE217B">
        <w:rPr>
          <w:b/>
          <w:bCs/>
        </w:rPr>
        <w:t>dohody</w:t>
      </w:r>
      <w:r w:rsidRPr="00CE217B">
        <w:t xml:space="preserve"> jsou formulovány obecně, mají </w:t>
      </w:r>
      <w:r w:rsidRPr="00CE217B">
        <w:rPr>
          <w:b/>
          <w:bCs/>
        </w:rPr>
        <w:t>povahu strategických partnerství</w:t>
      </w:r>
      <w:r w:rsidRPr="00CE217B">
        <w:t xml:space="preserve">, s ponecháním prostoru pro odchylky a úpravy v zájmu flexibility a schopnosti rychle reagovat na změny. To také znamená, že partneři jsou ochotni společně riskovat. Nezbytnou podmínkou partnerství je </w:t>
      </w:r>
      <w:r w:rsidRPr="00CE217B">
        <w:rPr>
          <w:b/>
          <w:bCs/>
        </w:rPr>
        <w:t>shoda na společné vizi</w:t>
      </w:r>
      <w:r w:rsidRPr="00CE217B">
        <w:t xml:space="preserve"> podpořená teorií změny a průběžná konzultace výsledků.</w:t>
      </w:r>
    </w:p>
    <w:p w14:paraId="6A1E3379" w14:textId="77777777" w:rsidR="00DA7E0D" w:rsidRPr="00CE217B" w:rsidRDefault="00DA7E0D" w:rsidP="00DA7E0D">
      <w:r w:rsidRPr="00CE217B">
        <w:t xml:space="preserve">V tomto rámci byly na období 2016-2020 uděleny </w:t>
      </w:r>
      <w:r w:rsidRPr="00CE217B">
        <w:rPr>
          <w:b/>
          <w:bCs/>
        </w:rPr>
        <w:t>granty v rozmezí od 2 do 20 milionů EUR celkem 25 neziskovým organizacím nebo konsorciím</w:t>
      </w:r>
      <w:r w:rsidRPr="00CE217B">
        <w:t xml:space="preserve">. Podpořené aktivity mohou probíhat na mezinárodní scéně, v rozvojových zemích nebo v Nizozemsku. Alespoň jeden žadatel nebo člen konsorcia je nizozemská organizace občanské společnosti s prokazatelnou kvalitou a s výsledky v oblasti lobbingu, advokacie a budování kapacit. Iniciativu </w:t>
      </w:r>
      <w:proofErr w:type="spellStart"/>
      <w:r w:rsidRPr="00CE217B">
        <w:rPr>
          <w:i/>
          <w:iCs/>
        </w:rPr>
        <w:t>dialogue</w:t>
      </w:r>
      <w:proofErr w:type="spellEnd"/>
      <w:r w:rsidRPr="00CE217B">
        <w:rPr>
          <w:i/>
          <w:iCs/>
        </w:rPr>
        <w:t xml:space="preserve"> and </w:t>
      </w:r>
      <w:proofErr w:type="spellStart"/>
      <w:r w:rsidRPr="00CE217B">
        <w:rPr>
          <w:i/>
          <w:iCs/>
        </w:rPr>
        <w:t>dissent</w:t>
      </w:r>
      <w:proofErr w:type="spellEnd"/>
      <w:r w:rsidRPr="00CE217B">
        <w:t xml:space="preserve"> doplňuje </w:t>
      </w:r>
      <w:r w:rsidRPr="00CE217B">
        <w:rPr>
          <w:b/>
          <w:bCs/>
        </w:rPr>
        <w:t>inovační fond pro organizace s novými nápady</w:t>
      </w:r>
      <w:r w:rsidRPr="00CE217B">
        <w:t xml:space="preserve"> v oblasti lobbingu a advokacie a nový fond odpovědnosti, který umožňuje velvyslanectvím financovat přímo organizace z globálního Jihu. </w:t>
      </w:r>
    </w:p>
    <w:p w14:paraId="39C0B5A2" w14:textId="6FB86D0E" w:rsidR="00DA7E0D" w:rsidRPr="00CE217B" w:rsidRDefault="00DA7E0D" w:rsidP="00DA7E0D">
      <w:pPr>
        <w:rPr>
          <w:b/>
          <w:bCs/>
        </w:rPr>
      </w:pPr>
      <w:r w:rsidRPr="00CE217B">
        <w:t xml:space="preserve">Jde o kvalitativně </w:t>
      </w:r>
      <w:r w:rsidRPr="00CE217B">
        <w:rPr>
          <w:b/>
          <w:bCs/>
        </w:rPr>
        <w:t>zcela nový přístup k partnerství státní správy a občanské společnosti</w:t>
      </w:r>
      <w:r w:rsidRPr="00CE217B">
        <w:t xml:space="preserve"> a </w:t>
      </w:r>
      <w:r w:rsidRPr="00CE217B">
        <w:rPr>
          <w:b/>
          <w:bCs/>
        </w:rPr>
        <w:t>nový pohled na budování kapacit</w:t>
      </w:r>
      <w:r w:rsidRPr="00CE217B">
        <w:t>. Posilování kapacit je v tomto kontextu zaměřeno na posílení odborných znalostí, řízení a finančního managementu partnerských organizací, jakož i na rozvoj základních schopností a dovedností potřebných k tomu, aby zůstaly relevantní v měnícím se mezinárodním kontextu a dosahovaly výsledků. Klíčovými kapacitami v tomto smyslu jsou: schopnost jednat a angažovat se, schopnost dosahovat výsledků, schopnost navazovat vztahy se stakeholdery, schopnost přizpůsobovat se a být vnitřně flexibilní, schopnost dosahovat koherence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Netherlands</w:t>
      </w:r>
      <w:proofErr w:type="spellEnd"/>
      <w:r w:rsidRPr="00CE217B">
        <w:t xml:space="preserve"> (2017)).</w:t>
      </w:r>
    </w:p>
    <w:p w14:paraId="3104EA29" w14:textId="77777777" w:rsidR="00DA7E0D" w:rsidRPr="00CE217B" w:rsidRDefault="005857C4" w:rsidP="00DA7E0D">
      <w:pPr>
        <w:rPr>
          <w:b/>
          <w:bCs/>
        </w:rPr>
      </w:pPr>
      <w:hyperlink r:id="rId26">
        <w:r w:rsidR="00DA7E0D" w:rsidRPr="00CE217B">
          <w:rPr>
            <w:rStyle w:val="Hypertextovodkaz"/>
            <w:b/>
            <w:bCs/>
          </w:rPr>
          <w:t>Německo</w:t>
        </w:r>
      </w:hyperlink>
    </w:p>
    <w:p w14:paraId="2497E65C" w14:textId="77777777" w:rsidR="00DA7E0D" w:rsidRPr="00CE217B" w:rsidRDefault="00DA7E0D" w:rsidP="00DA7E0D">
      <w:pPr>
        <w:rPr>
          <w:i/>
          <w:iCs/>
          <w:u w:val="single"/>
        </w:rPr>
      </w:pPr>
      <w:r w:rsidRPr="00CE217B">
        <w:rPr>
          <w:i/>
          <w:iCs/>
          <w:u w:val="single"/>
        </w:rPr>
        <w:t>Oblast dobré praxe: Financování občanské společnosti pro ZRS a kapacita veřejné správy</w:t>
      </w:r>
    </w:p>
    <w:p w14:paraId="726D2B7D" w14:textId="77777777" w:rsidR="00DA7E0D" w:rsidRPr="00CE217B" w:rsidRDefault="00DA7E0D" w:rsidP="00DA7E0D">
      <w:r w:rsidRPr="00CE217B">
        <w:t>BMZ</w:t>
      </w:r>
      <w:r w:rsidRPr="00CE217B">
        <w:rPr>
          <w:rStyle w:val="Znakapoznpodarou"/>
        </w:rPr>
        <w:footnoteReference w:id="10"/>
      </w:r>
      <w:r w:rsidRPr="00CE217B">
        <w:t xml:space="preserve"> oceňuje úlohu občanské společnosti v ZRS, jeho financování nevládních organizací, a také prostřednictvím těchto organizací, se neustále zvyšuje. V roce 2014 připravilo BMZ </w:t>
      </w:r>
      <w:r w:rsidRPr="00CE217B">
        <w:rPr>
          <w:b/>
          <w:bCs/>
        </w:rPr>
        <w:t>strategii spolupráce s občanskou společností</w:t>
      </w:r>
      <w:r w:rsidRPr="00CE217B">
        <w:t>.</w:t>
      </w:r>
    </w:p>
    <w:p w14:paraId="612A52F8" w14:textId="77777777" w:rsidR="00DA7E0D" w:rsidRPr="00CE217B" w:rsidRDefault="00DA7E0D" w:rsidP="00DA7E0D">
      <w:r w:rsidRPr="00CE217B">
        <w:t>Způsob, jakým BMZ poskytuje finanční prostředky nestátním subjektům (mezi něž patří jednotliví občané, obce, školy a nevládní organizace), byl v roce 2012 reorganizován a několik programů financování bylo sloučeno do jediného servisního místa známého jako "</w:t>
      </w:r>
      <w:proofErr w:type="spellStart"/>
      <w:r w:rsidRPr="00CE217B">
        <w:rPr>
          <w:i/>
          <w:iCs/>
        </w:rPr>
        <w:t>Engagement</w:t>
      </w:r>
      <w:proofErr w:type="spellEnd"/>
      <w:r w:rsidRPr="00CE217B">
        <w:rPr>
          <w:i/>
          <w:iCs/>
        </w:rPr>
        <w:t xml:space="preserve"> </w:t>
      </w:r>
      <w:proofErr w:type="spellStart"/>
      <w:r w:rsidRPr="00CE217B">
        <w:rPr>
          <w:i/>
          <w:iCs/>
        </w:rPr>
        <w:t>Global</w:t>
      </w:r>
      <w:proofErr w:type="spellEnd"/>
      <w:r w:rsidRPr="00CE217B">
        <w:t xml:space="preserve">". </w:t>
      </w:r>
      <w:proofErr w:type="spellStart"/>
      <w:r w:rsidRPr="00CE217B">
        <w:t>Engagement</w:t>
      </w:r>
      <w:proofErr w:type="spellEnd"/>
      <w:r w:rsidRPr="00CE217B">
        <w:t xml:space="preserve"> </w:t>
      </w:r>
      <w:proofErr w:type="spellStart"/>
      <w:r w:rsidRPr="00CE217B">
        <w:t>Global</w:t>
      </w:r>
      <w:proofErr w:type="spellEnd"/>
      <w:r w:rsidRPr="00CE217B">
        <w:t xml:space="preserve">, plně financovaný BMZ, zaměstnává 150 pracovníků na plný úvazek a poskytuje těmto aktérům </w:t>
      </w:r>
      <w:r w:rsidRPr="00CE217B">
        <w:rPr>
          <w:b/>
          <w:bCs/>
        </w:rPr>
        <w:t>informační a poradenské služby</w:t>
      </w:r>
      <w:r w:rsidRPr="00CE217B">
        <w:t xml:space="preserve"> (což má dopad na kapacitní možnosti nestátních subjektů) a také řídí procesy financování (výběr a monitorování spolufinancovaných projektů). </w:t>
      </w:r>
      <w:proofErr w:type="spellStart"/>
      <w:r w:rsidRPr="00CE217B">
        <w:t>Engagement</w:t>
      </w:r>
      <w:proofErr w:type="spellEnd"/>
      <w:r w:rsidRPr="00CE217B">
        <w:t xml:space="preserve"> </w:t>
      </w:r>
      <w:proofErr w:type="spellStart"/>
      <w:r w:rsidRPr="00CE217B">
        <w:t>Global</w:t>
      </w:r>
      <w:proofErr w:type="spellEnd"/>
      <w:r w:rsidRPr="00CE217B">
        <w:t xml:space="preserve"> se také přímo zapojuje do rozvojové spolupráce v oblastech, jako je informovanost veřejnosti.</w:t>
      </w:r>
    </w:p>
    <w:p w14:paraId="2FBDD7F9" w14:textId="77777777" w:rsidR="00DA7E0D" w:rsidRPr="00CE217B" w:rsidRDefault="00DA7E0D" w:rsidP="00DA7E0D">
      <w:pPr>
        <w:rPr>
          <w:i/>
          <w:iCs/>
          <w:u w:val="single"/>
        </w:rPr>
      </w:pPr>
      <w:r w:rsidRPr="00CE217B">
        <w:rPr>
          <w:i/>
          <w:iCs/>
          <w:u w:val="single"/>
        </w:rPr>
        <w:t>Oblast dobré praxe: Spolupráce s firmami</w:t>
      </w:r>
    </w:p>
    <w:p w14:paraId="7C111DDF" w14:textId="113C9824" w:rsidR="00DA7E0D" w:rsidRPr="00CE217B" w:rsidRDefault="00DA7E0D" w:rsidP="00DA7E0D">
      <w:pPr>
        <w:rPr>
          <w:b/>
          <w:bCs/>
        </w:rPr>
      </w:pPr>
      <w:r w:rsidRPr="00CE217B">
        <w:t xml:space="preserve">Německo považuje soukromý sektor za klíčovou hnací sílu rozvoje. </w:t>
      </w:r>
      <w:r w:rsidRPr="00CE217B">
        <w:rPr>
          <w:b/>
          <w:bCs/>
        </w:rPr>
        <w:t>Mobilizace soukromého financování</w:t>
      </w:r>
      <w:r w:rsidRPr="00CE217B">
        <w:t xml:space="preserve"> udržitelného rozvoje je proto klíčovou součástí německé rozvojové spolupráce. Byly navázány </w:t>
      </w:r>
      <w:r w:rsidRPr="00CE217B">
        <w:rPr>
          <w:b/>
          <w:bCs/>
        </w:rPr>
        <w:t>silné vazby s německou podnikatelskou komunitou</w:t>
      </w:r>
      <w:r w:rsidRPr="00CE217B">
        <w:t xml:space="preserve"> s cílem </w:t>
      </w:r>
      <w:r w:rsidRPr="00CE217B">
        <w:rPr>
          <w:b/>
          <w:bCs/>
        </w:rPr>
        <w:t>maximalizovat soukromé investice do udržitelného rozvoje</w:t>
      </w:r>
      <w:r w:rsidRPr="00CE217B">
        <w:t>. Německo rovněž usiluje o součinnost mezi veřejnými a soukromými německými subjekty v partnerských zemích (OECD Development Co‑</w:t>
      </w:r>
      <w:proofErr w:type="spellStart"/>
      <w:r w:rsidRPr="00CE217B">
        <w:t>operation</w:t>
      </w:r>
      <w:proofErr w:type="spellEnd"/>
      <w:r w:rsidRPr="00CE217B">
        <w:t xml:space="preserve"> Peer </w:t>
      </w:r>
      <w:proofErr w:type="spellStart"/>
      <w:r w:rsidRPr="00CE217B">
        <w:t>Reviews</w:t>
      </w:r>
      <w:proofErr w:type="spellEnd"/>
      <w:r w:rsidRPr="00CE217B">
        <w:t>: Germany (2021)).</w:t>
      </w:r>
    </w:p>
    <w:p w14:paraId="3551737C" w14:textId="77777777" w:rsidR="002A4F98" w:rsidRDefault="002A4F98">
      <w:pPr>
        <w:spacing w:before="0" w:after="0"/>
        <w:jc w:val="left"/>
      </w:pPr>
      <w:r>
        <w:br w:type="page"/>
      </w:r>
    </w:p>
    <w:p w14:paraId="37B3F471" w14:textId="24DC5FBC" w:rsidR="00DA7E0D" w:rsidRPr="00CE217B" w:rsidRDefault="005857C4" w:rsidP="00DA7E0D">
      <w:pPr>
        <w:rPr>
          <w:b/>
          <w:bCs/>
        </w:rPr>
      </w:pPr>
      <w:hyperlink r:id="rId27">
        <w:r w:rsidR="00DA7E0D" w:rsidRPr="00CE217B">
          <w:rPr>
            <w:rStyle w:val="Hypertextovodkaz"/>
            <w:b/>
            <w:bCs/>
          </w:rPr>
          <w:t>Norsko</w:t>
        </w:r>
      </w:hyperlink>
    </w:p>
    <w:p w14:paraId="0DB5536B" w14:textId="77777777" w:rsidR="00DA7E0D" w:rsidRPr="00CE217B" w:rsidRDefault="00DA7E0D" w:rsidP="00DA7E0D">
      <w:pPr>
        <w:rPr>
          <w:i/>
          <w:iCs/>
          <w:u w:val="single"/>
        </w:rPr>
      </w:pPr>
      <w:r w:rsidRPr="00CE217B">
        <w:rPr>
          <w:i/>
          <w:iCs/>
          <w:u w:val="single"/>
        </w:rPr>
        <w:t>Oblast dobré praxe: Spolehlivý a velkorysý partner</w:t>
      </w:r>
    </w:p>
    <w:p w14:paraId="004DE47A" w14:textId="77777777" w:rsidR="00DA7E0D" w:rsidRPr="00CE217B" w:rsidRDefault="00DA7E0D" w:rsidP="00DA7E0D">
      <w:bookmarkStart w:id="59" w:name="_Hlk73649015"/>
      <w:r w:rsidRPr="00CE217B">
        <w:t xml:space="preserve">Rozvojoví partneři, multilaterální subjekty a organizace občanské společnosti dlouhodobě považují Norsko za spolehlivého partnera, který </w:t>
      </w:r>
      <w:r w:rsidRPr="00CE217B">
        <w:rPr>
          <w:b/>
          <w:bCs/>
        </w:rPr>
        <w:t>není jen pouhým dárcem</w:t>
      </w:r>
      <w:r w:rsidRPr="00CE217B">
        <w:t xml:space="preserve">. Toto uznání je založeno na dlouhodobé angažovanosti Norska, konstruktivním dialogu a také na </w:t>
      </w:r>
      <w:r w:rsidRPr="00CE217B">
        <w:rPr>
          <w:b/>
          <w:bCs/>
        </w:rPr>
        <w:t>budování kapacit</w:t>
      </w:r>
      <w:r w:rsidRPr="00CE217B">
        <w:t xml:space="preserve">. </w:t>
      </w:r>
    </w:p>
    <w:p w14:paraId="4742BD10" w14:textId="77777777" w:rsidR="00DA7E0D" w:rsidRPr="00CE217B" w:rsidRDefault="00DA7E0D" w:rsidP="00DA7E0D">
      <w:r w:rsidRPr="00CE217B">
        <w:t xml:space="preserve">Norsko se zavázalo </w:t>
      </w:r>
      <w:r w:rsidRPr="00CE217B">
        <w:rPr>
          <w:b/>
          <w:bCs/>
        </w:rPr>
        <w:t>posilovat partnerství</w:t>
      </w:r>
      <w:r w:rsidRPr="00CE217B">
        <w:t xml:space="preserve"> s různými stakeholdery, zejména se soukromým sektorem a akademickou obcí.</w:t>
      </w:r>
      <w:bookmarkEnd w:id="59"/>
      <w:r w:rsidRPr="00CE217B">
        <w:t xml:space="preserve"> To je v souladu s projevem ministra pro mezinárodní rozvoj v dubnu 2018, v němž uvedl, že "samotná pomoc k dosažení rozvoje nestačí a musí být strategicky využívána k mobilizaci dalších finančních toků, včetně investic soukromého sektoru"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Norway</w:t>
      </w:r>
      <w:proofErr w:type="spellEnd"/>
      <w:r w:rsidRPr="00CE217B">
        <w:t xml:space="preserve"> (2019)).</w:t>
      </w:r>
    </w:p>
    <w:p w14:paraId="665BF71D" w14:textId="77777777" w:rsidR="00DA7E0D" w:rsidRPr="00CE217B" w:rsidRDefault="00DA7E0D" w:rsidP="00DA7E0D">
      <w:r w:rsidRPr="00CE217B">
        <w:t xml:space="preserve">Norsko rovněž vyvíjí značné úsilí, aby svá </w:t>
      </w:r>
      <w:r w:rsidRPr="00CE217B">
        <w:rPr>
          <w:b/>
          <w:bCs/>
        </w:rPr>
        <w:t>partnerství sladilo se svými stanovenými prioritami</w:t>
      </w:r>
      <w:r w:rsidRPr="00CE217B">
        <w:t xml:space="preserve"> – konkrétně se vzděláváním, zdravotnictvím, rozvojem soukromého sektoru a vytvářením pracovních míst, klimatem, obnovitelnými zdroji energie a životním prostředím, rovností žen a mužů a humanitární pomocí.  </w:t>
      </w:r>
    </w:p>
    <w:p w14:paraId="7123F5C3" w14:textId="77777777" w:rsidR="00DA7E0D" w:rsidRPr="00CE217B" w:rsidRDefault="00DA7E0D" w:rsidP="00DA7E0D">
      <w:pPr>
        <w:rPr>
          <w:i/>
          <w:iCs/>
          <w:u w:val="single"/>
        </w:rPr>
      </w:pPr>
      <w:r w:rsidRPr="00CE217B">
        <w:rPr>
          <w:i/>
          <w:iCs/>
          <w:u w:val="single"/>
        </w:rPr>
        <w:t>Oblast dobré praxe: Důvěra a dialog</w:t>
      </w:r>
    </w:p>
    <w:p w14:paraId="6AB82127" w14:textId="5CA55FD6" w:rsidR="00DA7E0D" w:rsidRPr="00CE217B" w:rsidRDefault="00DA7E0D" w:rsidP="00DA7E0D">
      <w:pPr>
        <w:rPr>
          <w:b/>
          <w:bCs/>
        </w:rPr>
      </w:pPr>
      <w:r w:rsidRPr="00CE217B">
        <w:t xml:space="preserve">Norsko si vybudovalo pevné vztahy s organizacemi občanské společnosti založené na důvěře a dialogu. Prostřednictvím </w:t>
      </w:r>
      <w:bookmarkStart w:id="60" w:name="_Hlk75191390"/>
      <w:r w:rsidRPr="00CE217B">
        <w:t xml:space="preserve">Norské agentury pro rozvojovou spolupráci </w:t>
      </w:r>
      <w:bookmarkEnd w:id="60"/>
      <w:r w:rsidRPr="00CE217B">
        <w:t>(</w:t>
      </w:r>
      <w:bookmarkStart w:id="61" w:name="_Hlk75191382"/>
      <w:proofErr w:type="spellStart"/>
      <w:r w:rsidRPr="00CE217B">
        <w:t>Norad</w:t>
      </w:r>
      <w:bookmarkEnd w:id="61"/>
      <w:proofErr w:type="spellEnd"/>
      <w:r w:rsidRPr="00CE217B">
        <w:t xml:space="preserve">) Norsko aktivně působí v rámci politiky na </w:t>
      </w:r>
      <w:r w:rsidRPr="00CE217B">
        <w:rPr>
          <w:b/>
          <w:bCs/>
        </w:rPr>
        <w:t xml:space="preserve">podporu zapojování nevládních organizací </w:t>
      </w:r>
      <w:r w:rsidRPr="00CE217B">
        <w:t xml:space="preserve">a investuje do jejich činnosti a </w:t>
      </w:r>
      <w:r w:rsidRPr="00CE217B">
        <w:rPr>
          <w:b/>
          <w:bCs/>
        </w:rPr>
        <w:t>kapacitního rozvoje</w:t>
      </w:r>
      <w:r w:rsidRPr="00CE217B">
        <w:t xml:space="preserve">. Agentura vypracovala </w:t>
      </w:r>
      <w:r w:rsidRPr="00CE217B">
        <w:rPr>
          <w:b/>
          <w:bCs/>
        </w:rPr>
        <w:t>několik metodických pokynů na podporu činnosti nevládních organizací</w:t>
      </w:r>
      <w:r w:rsidRPr="00CE217B">
        <w:t xml:space="preserve">, v souladu s norskými prioritami. </w:t>
      </w:r>
      <w:proofErr w:type="spellStart"/>
      <w:r w:rsidRPr="00CE217B">
        <w:t>Norad's</w:t>
      </w:r>
      <w:proofErr w:type="spellEnd"/>
      <w:r w:rsidRPr="00CE217B">
        <w:t xml:space="preserve"> Support to Civil Society (2018) zdůrazňuje sedm zásad, kterými jsou udržitelnost, inkluze, partnerství, legitimita, odpovědnost, nákladová efektivita a citlivost ke kontextu (</w:t>
      </w:r>
      <w:proofErr w:type="spellStart"/>
      <w:r w:rsidRPr="00CE217B">
        <w:t>Norad</w:t>
      </w:r>
      <w:proofErr w:type="spellEnd"/>
      <w:r w:rsidRPr="00CE217B">
        <w:t xml:space="preserve">, </w:t>
      </w:r>
      <w:proofErr w:type="gramStart"/>
      <w:r w:rsidRPr="00CE217B">
        <w:t>2018a</w:t>
      </w:r>
      <w:proofErr w:type="gramEnd"/>
      <w:r w:rsidRPr="00CE217B">
        <w:t xml:space="preserve">). Kromě toho Norsko považuje </w:t>
      </w:r>
      <w:r w:rsidRPr="00CE217B">
        <w:rPr>
          <w:b/>
          <w:bCs/>
        </w:rPr>
        <w:t>partnerství s občanskou společností</w:t>
      </w:r>
      <w:r w:rsidRPr="00CE217B">
        <w:t xml:space="preserve"> i soukromým sektorem za </w:t>
      </w:r>
      <w:r w:rsidRPr="00CE217B">
        <w:rPr>
          <w:b/>
          <w:bCs/>
        </w:rPr>
        <w:t>klíčový prvek</w:t>
      </w:r>
      <w:r w:rsidRPr="00CE217B">
        <w:t xml:space="preserve"> při plnění svých cílů. V bílé knize "Spolupráce: Rozvoj soukromého sektoru v norské rozvojové spolupráci" zdůrazňuje význam podpory "znalostních klastrů", v nichž </w:t>
      </w:r>
      <w:r w:rsidRPr="00CE217B">
        <w:rPr>
          <w:b/>
          <w:bCs/>
        </w:rPr>
        <w:t>soukromý sektor a organizace občanské společnosti spolupracují</w:t>
      </w:r>
      <w:r w:rsidRPr="00CE217B">
        <w:t xml:space="preserve"> v rámci vzájemně se posilujících partnerství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Norway</w:t>
      </w:r>
      <w:proofErr w:type="spellEnd"/>
      <w:r w:rsidRPr="00CE217B">
        <w:t xml:space="preserve"> (2019)).</w:t>
      </w:r>
    </w:p>
    <w:p w14:paraId="34DCB4ED" w14:textId="77777777" w:rsidR="00DA7E0D" w:rsidRPr="00CE217B" w:rsidRDefault="005857C4" w:rsidP="00DA7E0D">
      <w:pPr>
        <w:rPr>
          <w:b/>
          <w:bCs/>
        </w:rPr>
      </w:pPr>
      <w:hyperlink r:id="rId28">
        <w:r w:rsidR="00DA7E0D" w:rsidRPr="00CE217B">
          <w:rPr>
            <w:rStyle w:val="Hypertextovodkaz"/>
            <w:b/>
            <w:bCs/>
          </w:rPr>
          <w:t>Slovinsko</w:t>
        </w:r>
      </w:hyperlink>
    </w:p>
    <w:p w14:paraId="1215C72F" w14:textId="77777777" w:rsidR="00DA7E0D" w:rsidRPr="00CE217B" w:rsidRDefault="00DA7E0D" w:rsidP="00DA7E0D">
      <w:pPr>
        <w:rPr>
          <w:i/>
          <w:iCs/>
          <w:u w:val="single"/>
        </w:rPr>
      </w:pPr>
      <w:r w:rsidRPr="00CE217B">
        <w:rPr>
          <w:i/>
          <w:iCs/>
          <w:u w:val="single"/>
        </w:rPr>
        <w:t>Oblast dobré praxe: Partnerství státu a organizací občanské společnosti</w:t>
      </w:r>
    </w:p>
    <w:p w14:paraId="68871CCE" w14:textId="4F5A8EE0" w:rsidR="00DA7E0D" w:rsidRPr="00CE217B" w:rsidRDefault="00DA7E0D" w:rsidP="00DA7E0D">
      <w:r w:rsidRPr="00CE217B">
        <w:t xml:space="preserve">Zapojení Slovinska do spolupráce s organizacemi občanské společnosti je uvedeno v pokynech pro spolupráci mezi </w:t>
      </w:r>
      <w:r w:rsidR="00B6099B">
        <w:t>m</w:t>
      </w:r>
      <w:r w:rsidRPr="00CE217B">
        <w:t xml:space="preserve">inisterstvem zahraničních věcí a nevládními organizacemi. Usnesení klade zvláštní </w:t>
      </w:r>
      <w:r w:rsidRPr="00CE217B">
        <w:rPr>
          <w:b/>
          <w:bCs/>
        </w:rPr>
        <w:t>důraz na spolupráci slovinských nevládních organizací a organizací občanské společnosti v partnerských zemích</w:t>
      </w:r>
      <w:r w:rsidRPr="00CE217B">
        <w:t xml:space="preserve">. Slovinské nevládní organizace jsou přitom partnery při formulování politik, realizaci projektů a zvyšování povědomí o problematice ZRS. Plní </w:t>
      </w:r>
      <w:r w:rsidRPr="00CE217B">
        <w:rPr>
          <w:b/>
          <w:bCs/>
        </w:rPr>
        <w:t>roli „hlídacího psa“</w:t>
      </w:r>
      <w:r w:rsidRPr="00CE217B">
        <w:t xml:space="preserve"> a zasazují se o rozvojovou spolupráci a vzdělávání slovinské veřejnosti.</w:t>
      </w:r>
    </w:p>
    <w:p w14:paraId="2268F6A9" w14:textId="77777777" w:rsidR="00DA7E0D" w:rsidRPr="00CE217B" w:rsidRDefault="00DA7E0D" w:rsidP="00DA7E0D">
      <w:r w:rsidRPr="00CE217B">
        <w:t xml:space="preserve">Slovinsko si je vědomo, že do realizace malých projektů v partnerských zemích je zapojeno mnoho malých nevládních organizací, což vyžaduje větší zaměření a stanovení priorit. Slovinsko lépe vymezilo své procesy a požadavky na </w:t>
      </w:r>
      <w:r w:rsidRPr="00CE217B">
        <w:rPr>
          <w:b/>
          <w:bCs/>
        </w:rPr>
        <w:t xml:space="preserve">víceleté financování </w:t>
      </w:r>
      <w:r w:rsidRPr="00CE217B">
        <w:t xml:space="preserve">slovinských nevládních organizací a </w:t>
      </w:r>
      <w:r w:rsidRPr="00CE217B">
        <w:rPr>
          <w:b/>
          <w:bCs/>
        </w:rPr>
        <w:t>snížilo počet výzev</w:t>
      </w:r>
      <w:r w:rsidRPr="00CE217B">
        <w:t xml:space="preserve"> k předkládání návrhů na projekty nevládních organizací na dvě výzvy ročně – </w:t>
      </w:r>
      <w:r w:rsidRPr="00CE217B">
        <w:rPr>
          <w:b/>
          <w:bCs/>
        </w:rPr>
        <w:t>jednu tematickou výzvu a druhou výzvu, která má doplnit financování slovinských nevládních organizací na projekty spolufinancované EU</w:t>
      </w:r>
      <w:r w:rsidRPr="00CE217B">
        <w:t>.</w:t>
      </w:r>
    </w:p>
    <w:p w14:paraId="2B1A1777" w14:textId="6028040F" w:rsidR="00DA7E0D" w:rsidRPr="00CE217B" w:rsidRDefault="00DA7E0D" w:rsidP="00DA7E0D">
      <w:r w:rsidRPr="00CE217B">
        <w:t xml:space="preserve">Slovinské nevládní organizace obecně vítají iniciativu na vytvoření strategických partnerství, za předpokladu, že menší nevládní organizace by se mohly dále účastnit výzev k předkládání návrhů. Ocenily by také větší zapojení do procesů politických konzultací a zapojení do průběžného dialogu o strategických otázkách již od počátečních fází. Je zjevné, že </w:t>
      </w:r>
      <w:r w:rsidRPr="00CE217B">
        <w:rPr>
          <w:b/>
          <w:bCs/>
        </w:rPr>
        <w:t>zájem na strategickém partnerství</w:t>
      </w:r>
      <w:r w:rsidRPr="00CE217B">
        <w:t xml:space="preserve"> je oboustranné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Slovenia</w:t>
      </w:r>
      <w:proofErr w:type="spellEnd"/>
      <w:r w:rsidRPr="00CE217B">
        <w:t xml:space="preserve"> (2017)).</w:t>
      </w:r>
    </w:p>
    <w:bookmarkStart w:id="62" w:name="_Hlk70159767"/>
    <w:bookmarkEnd w:id="62"/>
    <w:p w14:paraId="23030BA5" w14:textId="77777777" w:rsidR="00DA7E0D" w:rsidRPr="00CE217B" w:rsidRDefault="00DA7E0D" w:rsidP="00DA7E0D">
      <w:pPr>
        <w:rPr>
          <w:b/>
          <w:bCs/>
        </w:rPr>
      </w:pPr>
      <w:r w:rsidRPr="00CE217B">
        <w:rPr>
          <w:rFonts w:asciiTheme="minorHAnsi" w:hAnsiTheme="minorHAnsi" w:cstheme="minorBidi"/>
          <w:lang w:val="en-US"/>
        </w:rPr>
        <w:lastRenderedPageBreak/>
        <w:fldChar w:fldCharType="begin"/>
      </w:r>
      <w:r w:rsidRPr="00CE217B">
        <w:rPr>
          <w:b/>
          <w:bCs/>
        </w:rPr>
        <w:instrText xml:space="preserve"> HYPERLINK "https://www.oecd-ilibrary.org/development/oecd-development-co-operation-peer-reviews-sweden-2019_9f83244b-en" \h </w:instrText>
      </w:r>
      <w:r w:rsidRPr="00CE217B">
        <w:rPr>
          <w:rFonts w:asciiTheme="minorHAnsi" w:hAnsiTheme="minorHAnsi" w:cstheme="minorBidi"/>
          <w:lang w:val="en-US"/>
        </w:rPr>
        <w:fldChar w:fldCharType="separate"/>
      </w:r>
      <w:r w:rsidRPr="00CE217B">
        <w:rPr>
          <w:rStyle w:val="Hypertextovodkaz"/>
          <w:b/>
          <w:bCs/>
        </w:rPr>
        <w:t>Švédsko</w:t>
      </w:r>
      <w:r w:rsidRPr="00CE217B">
        <w:rPr>
          <w:rStyle w:val="Hypertextovodkaz"/>
          <w:b/>
          <w:bCs/>
        </w:rPr>
        <w:fldChar w:fldCharType="end"/>
      </w:r>
    </w:p>
    <w:p w14:paraId="46E2837F" w14:textId="77777777" w:rsidR="00DA7E0D" w:rsidRPr="00CE217B" w:rsidRDefault="00DA7E0D" w:rsidP="00DA7E0D">
      <w:pPr>
        <w:rPr>
          <w:i/>
          <w:iCs/>
          <w:u w:val="single"/>
        </w:rPr>
      </w:pPr>
      <w:r w:rsidRPr="00CE217B">
        <w:rPr>
          <w:i/>
          <w:iCs/>
          <w:u w:val="single"/>
        </w:rPr>
        <w:t>Oblast dobré praxe: Vyspělé partnerství a dlouhodobost</w:t>
      </w:r>
    </w:p>
    <w:p w14:paraId="7ADB6EB5" w14:textId="77777777" w:rsidR="00DA7E0D" w:rsidRPr="00CE217B" w:rsidRDefault="00DA7E0D" w:rsidP="00DA7E0D">
      <w:r w:rsidRPr="00CE217B">
        <w:t xml:space="preserve">Švédsko je vysoce ceněným partnerem, který své </w:t>
      </w:r>
      <w:r w:rsidRPr="00CE217B">
        <w:rPr>
          <w:b/>
          <w:bCs/>
        </w:rPr>
        <w:t>vztahy zakládá na dialogu, flexibilitě a důvěře a podporuje koordinaci dárců</w:t>
      </w:r>
      <w:r w:rsidRPr="00CE217B">
        <w:t xml:space="preserve">. Upřednostňuje </w:t>
      </w:r>
      <w:r w:rsidRPr="00CE217B">
        <w:rPr>
          <w:b/>
          <w:bCs/>
        </w:rPr>
        <w:t>dlouhodobá partnerství</w:t>
      </w:r>
      <w:r w:rsidRPr="00CE217B">
        <w:t xml:space="preserve"> s organizacemi občanské společnosti, ale mohlo by rozšířit svá partnerství se soukromým sektorem a vládami partnerských zemí. Švédsko také deklaruje odhodlání dodržovat zásady efektivnosti, což dokazuje svým partnerským přístupem a podporou odpovědnosti partnerských zemí a rozvoje jejich kapacit. Snaží se zlepšit výkonnost v některých ukazatelích efektivnosti rozvojové spolupráce. </w:t>
      </w:r>
    </w:p>
    <w:p w14:paraId="4F331236" w14:textId="77777777" w:rsidR="00DA7E0D" w:rsidRPr="00CE217B" w:rsidRDefault="00DA7E0D" w:rsidP="00DA7E0D">
      <w:r w:rsidRPr="00CE217B">
        <w:t>Pro Švédsko hraje občanská společnost důležitou roli při snižování chudoby a demokratické správě věcí veřejných v rozvojových zemích. V současné době má SIDA</w:t>
      </w:r>
      <w:r w:rsidRPr="00CE217B">
        <w:rPr>
          <w:rStyle w:val="Znakapoznpodarou"/>
        </w:rPr>
        <w:footnoteReference w:id="11"/>
      </w:r>
      <w:r w:rsidRPr="00CE217B">
        <w:t xml:space="preserve"> uzavřeny </w:t>
      </w:r>
      <w:r w:rsidRPr="00CE217B">
        <w:rPr>
          <w:b/>
          <w:bCs/>
        </w:rPr>
        <w:t>víceleté rámcové dohody</w:t>
      </w:r>
      <w:r w:rsidRPr="00CE217B">
        <w:t xml:space="preserve"> s 15 švédskými organizacemi občanské společnosti, které jim umožňují financovat jejich vlastní programové priority v rámci zastřešujících pokynů stanovených agenturou.</w:t>
      </w:r>
    </w:p>
    <w:p w14:paraId="754E7037" w14:textId="77777777" w:rsidR="00DA7E0D" w:rsidRPr="00CE217B" w:rsidRDefault="00DA7E0D" w:rsidP="00DA7E0D">
      <w:pPr>
        <w:rPr>
          <w:i/>
          <w:iCs/>
          <w:u w:val="single"/>
        </w:rPr>
      </w:pPr>
      <w:r w:rsidRPr="00CE217B">
        <w:rPr>
          <w:i/>
          <w:iCs/>
          <w:u w:val="single"/>
        </w:rPr>
        <w:t>Oblast dobré praxe: Provádění Agendy 2030 - celospolečenský přístup</w:t>
      </w:r>
    </w:p>
    <w:p w14:paraId="5D33DC93" w14:textId="77777777" w:rsidR="00DA7E0D" w:rsidRPr="00CE217B" w:rsidRDefault="00DA7E0D" w:rsidP="00DA7E0D">
      <w:r w:rsidRPr="00CE217B">
        <w:t xml:space="preserve">Švédsko do realizace Agendy 2030 pečlivě zapojilo celou švédskou společnost a využilo širokou škálu odborných znalostí a zdrojů. V roce 2016 Švédsko zřídilo </w:t>
      </w:r>
      <w:r w:rsidRPr="00CE217B">
        <w:rPr>
          <w:b/>
          <w:bCs/>
        </w:rPr>
        <w:t>Delegaci pro Agendu 2030</w:t>
      </w:r>
      <w:r w:rsidRPr="00CE217B">
        <w:t xml:space="preserve">, nezávislý výbor složený ze zástupců švédských podnikatelských a výzkumných kruhů, organizací občanské společnosti a obecních samospráv. </w:t>
      </w:r>
    </w:p>
    <w:p w14:paraId="3FE10E78" w14:textId="7A30A7BC" w:rsidR="00DA7E0D" w:rsidRPr="00CE217B" w:rsidRDefault="00DA7E0D" w:rsidP="00DA7E0D">
      <w:r w:rsidRPr="00CE217B">
        <w:t xml:space="preserve">Delegace pomohla analyzovat dosavadní pokrok Švédska při naplňování </w:t>
      </w:r>
      <w:proofErr w:type="spellStart"/>
      <w:r w:rsidRPr="00CE217B">
        <w:t>SDGs</w:t>
      </w:r>
      <w:proofErr w:type="spellEnd"/>
      <w:r w:rsidRPr="00CE217B">
        <w:t>, identifikovat oblasti, v nichž je třeba dosáhnout pokroku, a podporovat širší společenské povědomí. Švédská Vědecká rada pro udržitelný rozvoj rovněž čerpala ze zprávy akademické obce, aby vytvořila pevný vědecký základ pro rozvoj udržitelného rozvoje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Pr="00CE217B">
        <w:t>Sweden</w:t>
      </w:r>
      <w:proofErr w:type="spellEnd"/>
      <w:r w:rsidRPr="00CE217B">
        <w:t xml:space="preserve"> (2019)).</w:t>
      </w:r>
    </w:p>
    <w:p w14:paraId="37F4FADE" w14:textId="77777777" w:rsidR="00DA7E0D" w:rsidRPr="00CE217B" w:rsidRDefault="005857C4" w:rsidP="00DA7E0D">
      <w:pPr>
        <w:rPr>
          <w:b/>
          <w:bCs/>
        </w:rPr>
      </w:pPr>
      <w:hyperlink r:id="rId29">
        <w:r w:rsidR="00DA7E0D" w:rsidRPr="00CE217B">
          <w:rPr>
            <w:rStyle w:val="Hypertextovodkaz"/>
            <w:b/>
            <w:bCs/>
          </w:rPr>
          <w:t>Velká Británie</w:t>
        </w:r>
      </w:hyperlink>
    </w:p>
    <w:p w14:paraId="4C48F85B" w14:textId="77777777" w:rsidR="00DA7E0D" w:rsidRPr="00CE217B" w:rsidRDefault="00DA7E0D" w:rsidP="00DA7E0D">
      <w:pPr>
        <w:rPr>
          <w:i/>
          <w:iCs/>
          <w:u w:val="single"/>
        </w:rPr>
      </w:pPr>
      <w:r w:rsidRPr="00CE217B">
        <w:rPr>
          <w:i/>
          <w:iCs/>
          <w:u w:val="single"/>
        </w:rPr>
        <w:t>Oblast dobré praxe: Předvídatelné, flexibilní a dlouhodobé programové financování</w:t>
      </w:r>
    </w:p>
    <w:p w14:paraId="266C8F81" w14:textId="77777777" w:rsidR="00DA7E0D" w:rsidRPr="00CE217B" w:rsidRDefault="00DA7E0D" w:rsidP="00DA7E0D">
      <w:r w:rsidRPr="00CE217B">
        <w:t xml:space="preserve">V roce 2016 prošlo financování občanské společnosti reformou. Předchozí program poskytující </w:t>
      </w:r>
      <w:proofErr w:type="spellStart"/>
      <w:r w:rsidRPr="00CE217B">
        <w:rPr>
          <w:i/>
          <w:iCs/>
        </w:rPr>
        <w:t>core</w:t>
      </w:r>
      <w:proofErr w:type="spellEnd"/>
      <w:r w:rsidRPr="00CE217B">
        <w:rPr>
          <w:i/>
          <w:iCs/>
        </w:rPr>
        <w:t xml:space="preserve"> </w:t>
      </w:r>
      <w:proofErr w:type="spellStart"/>
      <w:r w:rsidRPr="00CE217B">
        <w:rPr>
          <w:i/>
          <w:iCs/>
        </w:rPr>
        <w:t>funding</w:t>
      </w:r>
      <w:proofErr w:type="spellEnd"/>
      <w:r w:rsidRPr="00CE217B">
        <w:t xml:space="preserve"> vybraným organizacím občanské společnosti byl přerušen a byly </w:t>
      </w:r>
      <w:r w:rsidRPr="00CE217B">
        <w:rPr>
          <w:b/>
          <w:bCs/>
        </w:rPr>
        <w:t>zavedeny čtyři nové nástroje financování</w:t>
      </w:r>
      <w:r w:rsidRPr="00CE217B">
        <w:t xml:space="preserve">, jejichž záměrem bylo vybudovat širší základnu partnerů z řad občanské společnosti a podpořit partnerství a inovace. </w:t>
      </w:r>
    </w:p>
    <w:p w14:paraId="2DCA168A" w14:textId="5CCF8C22" w:rsidR="00DA7E0D" w:rsidRPr="00CE217B" w:rsidRDefault="00DA7E0D" w:rsidP="00DA7E0D">
      <w:r w:rsidRPr="00CE217B">
        <w:t xml:space="preserve">Většina finančních prostředků pro občanskou společnost (v průměru 2,3 miliardy USD ročně, 2014-2017) je poskytována prostřednictvím národních programů. Celková úroveň </w:t>
      </w:r>
      <w:proofErr w:type="spellStart"/>
      <w:r w:rsidRPr="00CE217B">
        <w:rPr>
          <w:b/>
          <w:bCs/>
          <w:i/>
          <w:iCs/>
        </w:rPr>
        <w:t>core</w:t>
      </w:r>
      <w:proofErr w:type="spellEnd"/>
      <w:r w:rsidRPr="00CE217B">
        <w:rPr>
          <w:b/>
          <w:bCs/>
          <w:i/>
          <w:iCs/>
        </w:rPr>
        <w:t xml:space="preserve"> </w:t>
      </w:r>
      <w:proofErr w:type="spellStart"/>
      <w:r w:rsidRPr="00CE217B">
        <w:rPr>
          <w:b/>
          <w:bCs/>
          <w:i/>
          <w:iCs/>
        </w:rPr>
        <w:t>funding</w:t>
      </w:r>
      <w:proofErr w:type="spellEnd"/>
      <w:r w:rsidRPr="00CE217B">
        <w:t xml:space="preserve"> nevládních organizací představuje přibližně </w:t>
      </w:r>
      <w:r w:rsidRPr="00CE217B">
        <w:rPr>
          <w:b/>
          <w:bCs/>
        </w:rPr>
        <w:t>pětinu celkové podpory NNO</w:t>
      </w:r>
      <w:r w:rsidRPr="00CE217B">
        <w:t xml:space="preserve">. </w:t>
      </w:r>
      <w:bookmarkStart w:id="63" w:name="_Hlk75191810"/>
      <w:r w:rsidRPr="00CE217B">
        <w:t>Ministerstvo pro mezinárodní rozvoj</w:t>
      </w:r>
      <w:bookmarkEnd w:id="63"/>
      <w:r>
        <w:t xml:space="preserve"> </w:t>
      </w:r>
      <w:r w:rsidRPr="00CE217B">
        <w:t xml:space="preserve">si uvědomuje potřebu podpory organizačních kapacit, a proto přijalo </w:t>
      </w:r>
      <w:r w:rsidRPr="00CE217B">
        <w:rPr>
          <w:b/>
          <w:bCs/>
        </w:rPr>
        <w:t>progresivní přístup k režijním a správním nákladům na financování projektů</w:t>
      </w:r>
      <w:r w:rsidRPr="00CE217B">
        <w:t>, který byl vypracován v úzké konzultaci s občanskou společností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United </w:t>
      </w:r>
      <w:proofErr w:type="spellStart"/>
      <w:r w:rsidRPr="00CE217B">
        <w:t>Kingdom</w:t>
      </w:r>
      <w:proofErr w:type="spellEnd"/>
      <w:r w:rsidRPr="00CE217B">
        <w:t xml:space="preserve"> (2020)).</w:t>
      </w:r>
    </w:p>
    <w:p w14:paraId="7EBB457D" w14:textId="77777777" w:rsidR="00DA7E0D" w:rsidRPr="00CE217B" w:rsidRDefault="00DA7E0D" w:rsidP="00B84ED1">
      <w:pPr>
        <w:pStyle w:val="Nadpis2"/>
        <w:numPr>
          <w:ilvl w:val="1"/>
          <w:numId w:val="16"/>
        </w:numPr>
        <w:rPr>
          <w:rFonts w:cs="Times New Roman"/>
        </w:rPr>
      </w:pPr>
      <w:bookmarkStart w:id="64" w:name="_Toc75263415"/>
      <w:r w:rsidRPr="00CE217B">
        <w:rPr>
          <w:rFonts w:cs="Times New Roman"/>
        </w:rPr>
        <w:t>Dobré praxe přes vybraná témata dobré praxe</w:t>
      </w:r>
      <w:bookmarkEnd w:id="64"/>
    </w:p>
    <w:p w14:paraId="7165D5E7" w14:textId="50ACAC64" w:rsidR="00DA7E0D" w:rsidRDefault="00DA7E0D" w:rsidP="00DA7E0D">
      <w:pPr>
        <w:rPr>
          <w:b/>
          <w:bCs/>
        </w:rPr>
      </w:pPr>
      <w:r w:rsidRPr="00CE217B">
        <w:rPr>
          <w:b/>
          <w:bCs/>
        </w:rPr>
        <w:t>Partnerský vztah s organizacemi občanské společnosti</w:t>
      </w:r>
    </w:p>
    <w:p w14:paraId="3EC7B32B" w14:textId="77777777" w:rsidR="007666BB" w:rsidRPr="002F7592" w:rsidRDefault="007666BB" w:rsidP="007666BB">
      <w:pPr>
        <w:spacing w:before="80"/>
        <w:rPr>
          <w:rFonts w:eastAsia="Calibri"/>
          <w:szCs w:val="22"/>
        </w:rPr>
      </w:pPr>
      <w:r w:rsidRPr="002F7592">
        <w:rPr>
          <w:rFonts w:eastAsia="Calibri"/>
        </w:rPr>
        <w:t>Vyspělé země, ale také země střední a východní Evropy jako Slovinsko či Slovensko, považují organizace</w:t>
      </w:r>
      <w:r w:rsidRPr="002F7592">
        <w:rPr>
          <w:rFonts w:eastAsia="Calibri"/>
          <w:szCs w:val="22"/>
        </w:rPr>
        <w:t xml:space="preserve"> občanské společnosti za klíčové subjekty a partnery při prosazování cílů ZRS. Vztahy mezi institucemi státní </w:t>
      </w:r>
      <w:r w:rsidRPr="002F7592">
        <w:rPr>
          <w:rFonts w:eastAsia="Calibri"/>
          <w:szCs w:val="22"/>
        </w:rPr>
        <w:lastRenderedPageBreak/>
        <w:t>správy a nevládními subjekty přitom začínají přesahovat pouhý vztah „donor – příjemce“. Příklady dobré praxe ukazují, že právě skutečný partnerský vztah, kdy je veřejná politika formulována i realizována v těsné spolupráci se stakeholdery, se ukazuje jako úspěšná cesta k realizaci politických cílů.</w:t>
      </w:r>
    </w:p>
    <w:p w14:paraId="6ACBE4BE" w14:textId="77777777" w:rsidR="00DA7E0D" w:rsidRPr="00CE217B" w:rsidRDefault="00DA7E0D" w:rsidP="00B84ED1">
      <w:pPr>
        <w:pStyle w:val="Odstavecseseznamem"/>
        <w:numPr>
          <w:ilvl w:val="0"/>
          <w:numId w:val="5"/>
        </w:numPr>
        <w:spacing w:before="0" w:after="160" w:line="259" w:lineRule="auto"/>
        <w:ind w:left="993"/>
        <w:contextualSpacing/>
        <w:rPr>
          <w:rFonts w:eastAsiaTheme="minorEastAsia"/>
        </w:rPr>
      </w:pPr>
      <w:r w:rsidRPr="00CE217B">
        <w:t>Vytváření společných strategických rámců pro nevládní subjekty včetně neziskových organizací s garanty ZRS (</w:t>
      </w:r>
      <w:hyperlink r:id="rId30">
        <w:r w:rsidRPr="00CE217B">
          <w:rPr>
            <w:rStyle w:val="Hypertextovodkaz"/>
          </w:rPr>
          <w:t>Belgie)</w:t>
        </w:r>
      </w:hyperlink>
    </w:p>
    <w:p w14:paraId="2B134788" w14:textId="77777777" w:rsidR="00DA7E0D" w:rsidRPr="00CE217B" w:rsidRDefault="00DA7E0D" w:rsidP="00B84ED1">
      <w:pPr>
        <w:pStyle w:val="Odstavecseseznamem"/>
        <w:numPr>
          <w:ilvl w:val="0"/>
          <w:numId w:val="5"/>
        </w:numPr>
        <w:spacing w:before="0" w:after="160" w:line="259" w:lineRule="auto"/>
        <w:ind w:left="993"/>
        <w:contextualSpacing/>
        <w:rPr>
          <w:b/>
          <w:bCs/>
        </w:rPr>
      </w:pPr>
      <w:r w:rsidRPr="00CE217B">
        <w:t>Uznání úlohy občanské společnosti jako významného aktéra v oblasti rozvojové spolupráce (</w:t>
      </w:r>
      <w:hyperlink r:id="rId31">
        <w:r w:rsidRPr="00CE217B">
          <w:rPr>
            <w:rStyle w:val="Hypertextovodkaz"/>
          </w:rPr>
          <w:t>Belgie</w:t>
        </w:r>
      </w:hyperlink>
      <w:r w:rsidRPr="00CE217B">
        <w:t xml:space="preserve">, </w:t>
      </w:r>
      <w:hyperlink r:id="rId32">
        <w:r w:rsidRPr="00CE217B">
          <w:rPr>
            <w:rStyle w:val="Hypertextovodkaz"/>
          </w:rPr>
          <w:t>Kanada</w:t>
        </w:r>
      </w:hyperlink>
      <w:r w:rsidRPr="00CE217B">
        <w:t xml:space="preserve">, </w:t>
      </w:r>
      <w:hyperlink r:id="rId33">
        <w:r w:rsidRPr="00CE217B">
          <w:rPr>
            <w:rStyle w:val="Hypertextovodkaz"/>
          </w:rPr>
          <w:t>Nizozemsko</w:t>
        </w:r>
      </w:hyperlink>
      <w:r w:rsidRPr="00CE217B">
        <w:t xml:space="preserve">). </w:t>
      </w:r>
    </w:p>
    <w:p w14:paraId="1DAC05A6" w14:textId="77777777" w:rsidR="00DA7E0D" w:rsidRPr="00CE217B" w:rsidRDefault="00DA7E0D" w:rsidP="00B84ED1">
      <w:pPr>
        <w:pStyle w:val="Odstavecseseznamem"/>
        <w:numPr>
          <w:ilvl w:val="0"/>
          <w:numId w:val="5"/>
        </w:numPr>
        <w:spacing w:before="0" w:after="160" w:line="259" w:lineRule="auto"/>
        <w:ind w:left="993"/>
        <w:contextualSpacing/>
      </w:pPr>
      <w:r w:rsidRPr="00CE217B">
        <w:t>Jasné metodické pokyny (</w:t>
      </w:r>
      <w:proofErr w:type="spellStart"/>
      <w:r w:rsidRPr="00CE217B">
        <w:rPr>
          <w:i/>
          <w:iCs/>
        </w:rPr>
        <w:t>guidelines</w:t>
      </w:r>
      <w:proofErr w:type="spellEnd"/>
      <w:r w:rsidRPr="00CE217B">
        <w:t>) pro spolupráci státu a organizací občanské společnosti (</w:t>
      </w:r>
      <w:hyperlink r:id="rId34">
        <w:r w:rsidRPr="00CE217B">
          <w:rPr>
            <w:rStyle w:val="Hypertextovodkaz"/>
          </w:rPr>
          <w:t>Finsko</w:t>
        </w:r>
      </w:hyperlink>
      <w:r w:rsidRPr="00CE217B">
        <w:t>).</w:t>
      </w:r>
    </w:p>
    <w:p w14:paraId="6B617197" w14:textId="77777777" w:rsidR="00DA7E0D" w:rsidRPr="00CE217B" w:rsidRDefault="00DA7E0D" w:rsidP="00B84ED1">
      <w:pPr>
        <w:pStyle w:val="Odstavecseseznamem"/>
        <w:numPr>
          <w:ilvl w:val="0"/>
          <w:numId w:val="5"/>
        </w:numPr>
        <w:spacing w:before="0" w:after="160" w:line="259" w:lineRule="auto"/>
        <w:ind w:left="993"/>
        <w:contextualSpacing/>
        <w:rPr>
          <w:rFonts w:eastAsiaTheme="minorEastAsia"/>
        </w:rPr>
      </w:pPr>
      <w:r w:rsidRPr="00CE217B">
        <w:t>Neziskové organizace jsou považovány za klíčové partnery při podpoře místního rozvoje, při prosazování globálního porozumění a při realizaci zahraniční pomoci. Organizace občanské společnosti jsou však také činiteli změny a samostatnými aktéry a hrají zásadní roli při podpoře a budování kapacit mezi svými partnery v rozvojových zemích (</w:t>
      </w:r>
      <w:hyperlink r:id="rId35">
        <w:r w:rsidRPr="00CE217B">
          <w:rPr>
            <w:rStyle w:val="Hypertextovodkaz"/>
          </w:rPr>
          <w:t>Kanada</w:t>
        </w:r>
      </w:hyperlink>
      <w:r w:rsidRPr="00CE217B">
        <w:t xml:space="preserve">).  </w:t>
      </w:r>
    </w:p>
    <w:p w14:paraId="144FA837" w14:textId="77777777" w:rsidR="00DA7E0D" w:rsidRPr="00CE217B" w:rsidRDefault="00DA7E0D" w:rsidP="00B84ED1">
      <w:pPr>
        <w:pStyle w:val="Odstavecseseznamem"/>
        <w:numPr>
          <w:ilvl w:val="0"/>
          <w:numId w:val="5"/>
        </w:numPr>
        <w:spacing w:before="0" w:after="160" w:line="259" w:lineRule="auto"/>
        <w:ind w:left="993"/>
        <w:contextualSpacing/>
        <w:rPr>
          <w:rFonts w:eastAsiaTheme="minorEastAsia"/>
        </w:rPr>
      </w:pPr>
      <w:r w:rsidRPr="00CE217B">
        <w:t xml:space="preserve">Jednoznačně nejkomplexnější je nizozemský partnerský princip reflektovaný v </w:t>
      </w:r>
      <w:hyperlink r:id="rId36">
        <w:r w:rsidRPr="00CE217B">
          <w:rPr>
            <w:rStyle w:val="Hypertextovodkaz"/>
          </w:rPr>
          <w:t>Programu strategického partnerství s nizozemskou vládou: “</w:t>
        </w:r>
        <w:proofErr w:type="spellStart"/>
        <w:r w:rsidRPr="00CE217B">
          <w:rPr>
            <w:rStyle w:val="Hypertextovodkaz"/>
          </w:rPr>
          <w:t>Dialogue</w:t>
        </w:r>
        <w:proofErr w:type="spellEnd"/>
        <w:r w:rsidRPr="00CE217B">
          <w:rPr>
            <w:rStyle w:val="Hypertextovodkaz"/>
          </w:rPr>
          <w:t xml:space="preserve"> and </w:t>
        </w:r>
        <w:proofErr w:type="spellStart"/>
        <w:r w:rsidRPr="00CE217B">
          <w:rPr>
            <w:rStyle w:val="Hypertextovodkaz"/>
          </w:rPr>
          <w:t>Dissent</w:t>
        </w:r>
        <w:proofErr w:type="spellEnd"/>
        <w:r w:rsidRPr="00CE217B">
          <w:rPr>
            <w:rStyle w:val="Hypertextovodkaz"/>
          </w:rPr>
          <w:t>”</w:t>
        </w:r>
      </w:hyperlink>
      <w:r w:rsidRPr="00CE217B">
        <w:t xml:space="preserve">, v jehož rámci jsou </w:t>
      </w:r>
      <w:bookmarkStart w:id="65" w:name="_Hlk75191967"/>
      <w:r w:rsidRPr="00CE217B">
        <w:t xml:space="preserve">organizace občanské společnosti </w:t>
      </w:r>
      <w:bookmarkEnd w:id="65"/>
      <w:r w:rsidRPr="00CE217B">
        <w:t>(</w:t>
      </w:r>
      <w:bookmarkStart w:id="66" w:name="_Hlk75191959"/>
      <w:r w:rsidRPr="00CE217B">
        <w:t>OOS</w:t>
      </w:r>
      <w:bookmarkEnd w:id="66"/>
      <w:r w:rsidRPr="00CE217B">
        <w:t xml:space="preserve">) vyzývány k tomu, aby oponovaly vládě, kontrolovaly ji a přicházely s inovativními postupy a spolupracovaly se stakeholdery. To vše je založeno na uznání klíčové role NNO (resp. OOS) v oblasti ZRS a prosazování společenských změn. Tento typ vztahu vyžaduje vzájemně kritický přístup partnerů. Vyjádřením rozdílných postojů si partneři navzájem pomáhají „udržet pozornost“ a vyjasnit si vzájemně stanoviska. Jejich dohody jsou formulovány obecně, mají povahu </w:t>
      </w:r>
      <w:r w:rsidRPr="00CE217B">
        <w:rPr>
          <w:b/>
          <w:bCs/>
        </w:rPr>
        <w:t>strategických partnerství</w:t>
      </w:r>
      <w:r w:rsidRPr="00CE217B">
        <w:t xml:space="preserve">, s ponecháním prostoru pro odchylky a úpravy v zájmu flexibility a schopnosti rychle reagovat na změny. To také znamená, že partneři jsou ochotni společně riskovat. Nezbytnou podmínkou partnerství je </w:t>
      </w:r>
      <w:r w:rsidRPr="00CE217B">
        <w:rPr>
          <w:b/>
          <w:bCs/>
        </w:rPr>
        <w:t>shoda na společné vizi</w:t>
      </w:r>
      <w:r w:rsidRPr="00CE217B">
        <w:t xml:space="preserve"> podpořená teorií změny a průběžná konzultace výsledků.</w:t>
      </w:r>
    </w:p>
    <w:p w14:paraId="2AA4E60D" w14:textId="77777777" w:rsidR="00DA7E0D" w:rsidRPr="00CE217B" w:rsidRDefault="00DA7E0D" w:rsidP="00DA7E0D">
      <w:pPr>
        <w:rPr>
          <w:b/>
          <w:bCs/>
        </w:rPr>
      </w:pPr>
      <w:r w:rsidRPr="00CE217B">
        <w:rPr>
          <w:b/>
          <w:bCs/>
        </w:rPr>
        <w:t xml:space="preserve">Spolupráce s klíčovými </w:t>
      </w:r>
      <w:proofErr w:type="spellStart"/>
      <w:r w:rsidRPr="00CE217B">
        <w:rPr>
          <w:b/>
          <w:bCs/>
        </w:rPr>
        <w:t>policy</w:t>
      </w:r>
      <w:proofErr w:type="spellEnd"/>
      <w:r w:rsidRPr="00CE217B">
        <w:rPr>
          <w:b/>
          <w:bCs/>
        </w:rPr>
        <w:t xml:space="preserve"> partnery</w:t>
      </w:r>
    </w:p>
    <w:p w14:paraId="131A53F9" w14:textId="77777777" w:rsidR="00DA7E0D" w:rsidRPr="00CE217B" w:rsidRDefault="00DA7E0D" w:rsidP="00B84ED1">
      <w:pPr>
        <w:pStyle w:val="Odstavecseseznamem"/>
        <w:numPr>
          <w:ilvl w:val="0"/>
          <w:numId w:val="6"/>
        </w:numPr>
        <w:spacing w:before="0" w:after="0" w:line="259" w:lineRule="auto"/>
        <w:ind w:left="993"/>
        <w:contextualSpacing/>
        <w:rPr>
          <w:rFonts w:eastAsiaTheme="minorEastAsia"/>
        </w:rPr>
      </w:pPr>
      <w:r w:rsidRPr="00CE217B">
        <w:t>Desetiletý akreditační proces výběru partnerů, kteří jsou dostatečně silní k tomu, aby definovali, prováděli a sledovali výkon programů spolupráce, a přitom nadále reprezentovali občanskou společnost v její celé pestrosti všechny trendy ve společnosti (</w:t>
      </w:r>
      <w:hyperlink r:id="rId37">
        <w:r w:rsidRPr="00CE217B">
          <w:rPr>
            <w:rStyle w:val="Hypertextovodkaz"/>
          </w:rPr>
          <w:t>Belgie</w:t>
        </w:r>
      </w:hyperlink>
      <w:r w:rsidRPr="00CE217B">
        <w:t>).</w:t>
      </w:r>
    </w:p>
    <w:p w14:paraId="7414235D" w14:textId="77777777" w:rsidR="00DA7E0D" w:rsidRPr="00CE217B" w:rsidRDefault="00DA7E0D" w:rsidP="00B84ED1">
      <w:pPr>
        <w:pStyle w:val="Odstavecseseznamem"/>
        <w:numPr>
          <w:ilvl w:val="0"/>
          <w:numId w:val="6"/>
        </w:numPr>
        <w:spacing w:before="0" w:after="0" w:line="259" w:lineRule="auto"/>
        <w:ind w:left="993"/>
        <w:contextualSpacing/>
        <w:jc w:val="left"/>
        <w:rPr>
          <w:rFonts w:eastAsiaTheme="minorEastAsia"/>
        </w:rPr>
      </w:pPr>
      <w:r w:rsidRPr="00CE217B">
        <w:t>Víceleté rámcové dohody s 15 švédskými organizacemi občanské společnosti (</w:t>
      </w:r>
      <w:hyperlink r:id="rId38">
        <w:r w:rsidRPr="00CE217B">
          <w:rPr>
            <w:rStyle w:val="Hypertextovodkaz"/>
          </w:rPr>
          <w:t>Švédsko</w:t>
        </w:r>
      </w:hyperlink>
      <w:r w:rsidRPr="00CE217B">
        <w:t>).</w:t>
      </w:r>
    </w:p>
    <w:p w14:paraId="439D918F" w14:textId="77777777" w:rsidR="00DA7E0D" w:rsidRPr="00CE217B" w:rsidRDefault="00446D4D" w:rsidP="00576785">
      <w:pPr>
        <w:pStyle w:val="Odstavecseseznamem"/>
        <w:numPr>
          <w:ilvl w:val="0"/>
          <w:numId w:val="5"/>
        </w:numPr>
        <w:spacing w:before="0" w:after="160" w:line="259" w:lineRule="auto"/>
        <w:ind w:left="993"/>
        <w:contextualSpacing/>
        <w:rPr>
          <w:rFonts w:eastAsiaTheme="minorEastAsia"/>
        </w:rPr>
      </w:pPr>
      <w:hyperlink r:id="rId39">
        <w:r w:rsidR="00DA7E0D" w:rsidRPr="00CE217B">
          <w:rPr>
            <w:rStyle w:val="Hypertextovodkaz"/>
          </w:rPr>
          <w:t>Nizozemsko</w:t>
        </w:r>
      </w:hyperlink>
      <w:r w:rsidR="00DA7E0D" w:rsidRPr="00CE217B">
        <w:t xml:space="preserve"> a jeho víceletá podpora 25 osvědčeným neziskovým organizacím či jejich konsorciím.</w:t>
      </w:r>
    </w:p>
    <w:p w14:paraId="260105A9" w14:textId="77777777" w:rsidR="00DA7E0D" w:rsidRPr="00CE217B" w:rsidRDefault="00DA7E0D" w:rsidP="00DA7E0D">
      <w:pPr>
        <w:rPr>
          <w:b/>
          <w:bCs/>
        </w:rPr>
      </w:pPr>
      <w:r w:rsidRPr="00CE217B">
        <w:rPr>
          <w:b/>
          <w:bCs/>
        </w:rPr>
        <w:t>Spolupráce státu, organizací občanské společnosti a firem</w:t>
      </w:r>
    </w:p>
    <w:p w14:paraId="1042F672" w14:textId="77777777" w:rsidR="00DA7E0D" w:rsidRPr="00CE217B" w:rsidRDefault="00DA7E0D" w:rsidP="00B84ED1">
      <w:pPr>
        <w:pStyle w:val="Odstavecseseznamem"/>
        <w:numPr>
          <w:ilvl w:val="0"/>
          <w:numId w:val="7"/>
        </w:numPr>
        <w:spacing w:before="0" w:after="0" w:line="259" w:lineRule="auto"/>
        <w:ind w:left="993"/>
        <w:contextualSpacing/>
        <w:rPr>
          <w:rFonts w:eastAsiaTheme="minorEastAsia"/>
        </w:rPr>
      </w:pPr>
      <w:r w:rsidRPr="00CE217B">
        <w:t xml:space="preserve">Zapojení soukromého sektoru do ZRS zůstává výzvou pro mnohé a je třeba si uvědomit, že humanitární a neziskový sektor často nemá přirozený vstřícný vztah s firmami, a to i těmi nadnárodními, kromě programů </w:t>
      </w:r>
      <w:proofErr w:type="spellStart"/>
      <w:r w:rsidRPr="00CE217B">
        <w:rPr>
          <w:i/>
          <w:iCs/>
        </w:rPr>
        <w:t>corporate</w:t>
      </w:r>
      <w:proofErr w:type="spellEnd"/>
      <w:r w:rsidRPr="00CE217B">
        <w:rPr>
          <w:i/>
          <w:iCs/>
        </w:rPr>
        <w:t xml:space="preserve"> </w:t>
      </w:r>
      <w:proofErr w:type="spellStart"/>
      <w:r w:rsidRPr="00CE217B">
        <w:rPr>
          <w:i/>
          <w:iCs/>
        </w:rPr>
        <w:t>social</w:t>
      </w:r>
      <w:proofErr w:type="spellEnd"/>
      <w:r w:rsidRPr="00CE217B">
        <w:rPr>
          <w:i/>
          <w:iCs/>
        </w:rPr>
        <w:t xml:space="preserve"> </w:t>
      </w:r>
      <w:proofErr w:type="spellStart"/>
      <w:r w:rsidRPr="00CE217B">
        <w:rPr>
          <w:i/>
          <w:iCs/>
        </w:rPr>
        <w:t>responsibility</w:t>
      </w:r>
      <w:proofErr w:type="spellEnd"/>
      <w:r w:rsidRPr="00CE217B">
        <w:t>. Zde je potenciálně klíčová role vlády/ministerstva/vládní agentury při moderování dialogu mezi různými typy stakeholderů.</w:t>
      </w:r>
    </w:p>
    <w:p w14:paraId="73F522EA" w14:textId="77777777" w:rsidR="00DA7E0D" w:rsidRPr="00CE217B" w:rsidRDefault="005857C4" w:rsidP="00B84ED1">
      <w:pPr>
        <w:pStyle w:val="Odstavecseseznamem"/>
        <w:numPr>
          <w:ilvl w:val="0"/>
          <w:numId w:val="7"/>
        </w:numPr>
        <w:spacing w:before="0" w:after="0" w:line="259" w:lineRule="auto"/>
        <w:ind w:left="993"/>
        <w:contextualSpacing/>
      </w:pPr>
      <w:hyperlink r:id="rId40">
        <w:r w:rsidR="00DA7E0D" w:rsidRPr="00CE217B">
          <w:rPr>
            <w:rStyle w:val="Hypertextovodkaz"/>
          </w:rPr>
          <w:t>Německo</w:t>
        </w:r>
      </w:hyperlink>
      <w:r w:rsidR="00DA7E0D" w:rsidRPr="00CE217B">
        <w:t xml:space="preserve"> považuje soukromý sektor za klíčovou hnací sílu rozvoje. Mobilizace soukromého financování udržitelného rozvoje je proto klíčovou součástí německé rozvojové spolupráce. Byly navázány silné vazby s německou podnikatelskou komunitou s cílem maximalizovat soukromé investice do udržitelného rozvoje. Německo rovněž usiluje o součinnost mezi veřejnými a soukromými německými subjekty v partnerských zemích.</w:t>
      </w:r>
    </w:p>
    <w:p w14:paraId="1E49715B" w14:textId="77777777" w:rsidR="00DA7E0D" w:rsidRPr="00CE217B" w:rsidRDefault="00DA7E0D" w:rsidP="00B84ED1">
      <w:pPr>
        <w:pStyle w:val="Odstavecseseznamem"/>
        <w:numPr>
          <w:ilvl w:val="0"/>
          <w:numId w:val="7"/>
        </w:numPr>
        <w:spacing w:before="0" w:after="0" w:line="259" w:lineRule="auto"/>
        <w:ind w:left="993"/>
        <w:contextualSpacing/>
      </w:pPr>
      <w:r w:rsidRPr="00CE217B">
        <w:t xml:space="preserve">Inspirativní je opět </w:t>
      </w:r>
      <w:hyperlink r:id="rId41">
        <w:r w:rsidRPr="00CE217B">
          <w:rPr>
            <w:rStyle w:val="Hypertextovodkaz"/>
          </w:rPr>
          <w:t>nizozemský přístup</w:t>
        </w:r>
      </w:hyperlink>
      <w:r w:rsidRPr="00CE217B">
        <w:t xml:space="preserve"> spočívající v posilování kapacit organizací občanské společnosti a slaďování zájmů s vládou, který v budoucnu umožní podniknout kroky k zapojení soukromého sektoru a/nebo k ovlivnění investičních plánů. Důležitou spojovací a zprostředkovatelskou roli zde mohou sehrát nizozemská velvyslanectví. </w:t>
      </w:r>
    </w:p>
    <w:p w14:paraId="17347744" w14:textId="691F94BD" w:rsidR="00DA7E0D" w:rsidRPr="00DA7E0D" w:rsidRDefault="00DA7E0D" w:rsidP="00B84ED1">
      <w:pPr>
        <w:pStyle w:val="Odstavecseseznamem"/>
        <w:numPr>
          <w:ilvl w:val="0"/>
          <w:numId w:val="7"/>
        </w:numPr>
        <w:spacing w:before="0" w:after="0" w:line="259" w:lineRule="auto"/>
        <w:ind w:left="993"/>
        <w:contextualSpacing/>
        <w:rPr>
          <w:rFonts w:eastAsiaTheme="minorEastAsia"/>
        </w:rPr>
      </w:pPr>
      <w:r w:rsidRPr="00CE217B">
        <w:t>Organizace z řad občanské společnosti jsou vyzývány, aby spolupracovaly s podnikatelským sektorem. Akcent na to, aby se práce se soukromým sektorem jasně zaměřila na poskytování účinnější humanitární a rozvojové reakce, a ne pouze na výhody pro firmy (</w:t>
      </w:r>
      <w:hyperlink r:id="rId42">
        <w:r w:rsidRPr="00DA7E0D">
          <w:rPr>
            <w:rStyle w:val="Hypertextovodkaz"/>
          </w:rPr>
          <w:t>Finsko</w:t>
        </w:r>
      </w:hyperlink>
      <w:r w:rsidRPr="00DA7E0D">
        <w:rPr>
          <w:rStyle w:val="Hypertextovodkaz"/>
        </w:rPr>
        <w:t>)</w:t>
      </w:r>
      <w:r w:rsidRPr="00CE217B">
        <w:t>.</w:t>
      </w:r>
    </w:p>
    <w:p w14:paraId="2F7B632E" w14:textId="09912175" w:rsidR="00DA7E0D" w:rsidRPr="00CE217B" w:rsidRDefault="005857C4" w:rsidP="00B84ED1">
      <w:pPr>
        <w:pStyle w:val="Odstavecseseznamem"/>
        <w:numPr>
          <w:ilvl w:val="0"/>
          <w:numId w:val="7"/>
        </w:numPr>
        <w:spacing w:before="0" w:after="160" w:line="259" w:lineRule="auto"/>
        <w:ind w:left="993"/>
        <w:contextualSpacing/>
      </w:pPr>
      <w:hyperlink r:id="rId43">
        <w:r w:rsidR="00DA7E0D" w:rsidRPr="00CE217B">
          <w:rPr>
            <w:rStyle w:val="Hypertextovodkaz"/>
          </w:rPr>
          <w:t>Norsko</w:t>
        </w:r>
      </w:hyperlink>
      <w:r w:rsidR="00DA7E0D" w:rsidRPr="00CE217B">
        <w:t xml:space="preserve"> se zavázalo posilovat partnerství s různými stakeholdery, zejména se soukromým sektorem a akademickou obcí. To je v souladu s projevem ministra pro mezinárodní rozvoj v dubnu 2018, v němž uvedl, že "samotná pomoc k dosažení rozvoje nestačí a musí být strategicky využívána k mobilizaci dalších finančních toků, včetně investic soukromého sektoru" (</w:t>
      </w:r>
      <w:r w:rsidR="00E722C0" w:rsidRPr="00CE217B">
        <w:t xml:space="preserve">Peer </w:t>
      </w:r>
      <w:proofErr w:type="spellStart"/>
      <w:r w:rsidR="00E722C0" w:rsidRPr="00CE217B">
        <w:t>Reviews</w:t>
      </w:r>
      <w:proofErr w:type="spellEnd"/>
      <w:r w:rsidR="00E722C0" w:rsidRPr="00CE217B">
        <w:t xml:space="preserve">: </w:t>
      </w:r>
      <w:proofErr w:type="spellStart"/>
      <w:r w:rsidR="00E722C0" w:rsidRPr="00CE217B">
        <w:t>Norway</w:t>
      </w:r>
      <w:proofErr w:type="spellEnd"/>
      <w:r w:rsidR="00E722C0" w:rsidRPr="00CE217B">
        <w:t xml:space="preserve"> (2019)</w:t>
      </w:r>
      <w:r w:rsidR="00DA7E0D" w:rsidRPr="00CE217B">
        <w:t>).</w:t>
      </w:r>
    </w:p>
    <w:p w14:paraId="2B989E2D" w14:textId="7E1BA09B" w:rsidR="00DA7E0D" w:rsidRDefault="00DA7E0D" w:rsidP="00DA7E0D">
      <w:pPr>
        <w:rPr>
          <w:b/>
          <w:bCs/>
        </w:rPr>
      </w:pPr>
      <w:r w:rsidRPr="00CE217B">
        <w:rPr>
          <w:b/>
          <w:bCs/>
        </w:rPr>
        <w:t>Flexibilní a předvídatelné financování vč. víceletosti</w:t>
      </w:r>
    </w:p>
    <w:p w14:paraId="2270D16C" w14:textId="77777777" w:rsidR="007666BB" w:rsidRPr="002F7592" w:rsidRDefault="007666BB" w:rsidP="007666BB">
      <w:pPr>
        <w:spacing w:before="80"/>
        <w:rPr>
          <w:rFonts w:eastAsia="Calibri"/>
          <w:szCs w:val="22"/>
        </w:rPr>
      </w:pPr>
      <w:r w:rsidRPr="002F7592">
        <w:rPr>
          <w:rFonts w:eastAsia="Calibri"/>
          <w:szCs w:val="22"/>
        </w:rPr>
        <w:t xml:space="preserve">S partnerským principem úzce souvisí způsob financování. Vzhledem k respektu k potřebám přímých aktérů ZRS je logický trend směrem k financování víceletému, založenému na kombinaci projektového financování a </w:t>
      </w:r>
      <w:proofErr w:type="spellStart"/>
      <w:r w:rsidRPr="002F7592">
        <w:rPr>
          <w:rFonts w:eastAsia="Calibri"/>
          <w:i/>
          <w:iCs/>
          <w:szCs w:val="22"/>
        </w:rPr>
        <w:t>core</w:t>
      </w:r>
      <w:proofErr w:type="spellEnd"/>
      <w:r w:rsidRPr="002F7592">
        <w:rPr>
          <w:rFonts w:eastAsia="Calibri"/>
          <w:i/>
          <w:iCs/>
          <w:szCs w:val="22"/>
        </w:rPr>
        <w:t xml:space="preserve"> </w:t>
      </w:r>
      <w:proofErr w:type="spellStart"/>
      <w:r w:rsidRPr="002F7592">
        <w:rPr>
          <w:rFonts w:eastAsia="Calibri"/>
          <w:i/>
          <w:iCs/>
          <w:szCs w:val="22"/>
        </w:rPr>
        <w:t>funding</w:t>
      </w:r>
      <w:proofErr w:type="spellEnd"/>
      <w:r w:rsidRPr="002F7592">
        <w:rPr>
          <w:rFonts w:eastAsia="Calibri"/>
          <w:szCs w:val="22"/>
        </w:rPr>
        <w:t xml:space="preserve"> vycházejícímu ze strategického charakteru veřejně-soukromých partnerství. Trendem je i flexibilita respektující specifických kontext jednotlivých projektů a zejména vědomí nutnosti podpory kapacit realizátorů projektů ZRS.</w:t>
      </w:r>
    </w:p>
    <w:p w14:paraId="18F8F340" w14:textId="77777777" w:rsidR="00DA7E0D" w:rsidRPr="00CE217B" w:rsidRDefault="00DA7E0D" w:rsidP="00B84ED1">
      <w:pPr>
        <w:pStyle w:val="Odstavecseseznamem"/>
        <w:numPr>
          <w:ilvl w:val="0"/>
          <w:numId w:val="8"/>
        </w:numPr>
        <w:spacing w:before="0" w:after="160" w:line="259" w:lineRule="auto"/>
        <w:ind w:left="993"/>
        <w:contextualSpacing/>
        <w:rPr>
          <w:rFonts w:eastAsiaTheme="minorEastAsia"/>
        </w:rPr>
      </w:pPr>
      <w:r w:rsidRPr="00CE217B">
        <w:t>Vysoce předvídatelné financování a flexibilní implementace, včetně víceletého financování a úsilí o rychlé platby na začátku rozpočtového roku (</w:t>
      </w:r>
      <w:hyperlink r:id="rId44">
        <w:r w:rsidRPr="00CE217B">
          <w:rPr>
            <w:rStyle w:val="Hypertextovodkaz"/>
          </w:rPr>
          <w:t>Belgie</w:t>
        </w:r>
      </w:hyperlink>
      <w:r w:rsidRPr="00CE217B">
        <w:t>).</w:t>
      </w:r>
    </w:p>
    <w:p w14:paraId="21989BFE" w14:textId="77777777" w:rsidR="00DA7E0D" w:rsidRPr="00CE217B" w:rsidRDefault="00DA7E0D" w:rsidP="00B84ED1">
      <w:pPr>
        <w:pStyle w:val="Odstavecseseznamem"/>
        <w:numPr>
          <w:ilvl w:val="0"/>
          <w:numId w:val="8"/>
        </w:numPr>
        <w:spacing w:before="0" w:after="160" w:line="259" w:lineRule="auto"/>
        <w:ind w:left="993"/>
        <w:contextualSpacing/>
        <w:rPr>
          <w:rFonts w:eastAsiaTheme="minorEastAsia"/>
        </w:rPr>
      </w:pPr>
      <w:r w:rsidRPr="00CE217B">
        <w:t>Flexibilita a možné úpravy rozpočtu během projektů. Možnost prodloužení doby trvání jednoletých projektů až na tři roky (i když bez dodatečného navyšování finanční podpory) (</w:t>
      </w:r>
      <w:hyperlink r:id="rId45">
        <w:r w:rsidRPr="00CE217B">
          <w:rPr>
            <w:rStyle w:val="Hypertextovodkaz"/>
          </w:rPr>
          <w:t>Finsko</w:t>
        </w:r>
      </w:hyperlink>
      <w:r w:rsidRPr="00CE217B">
        <w:t xml:space="preserve">). </w:t>
      </w:r>
    </w:p>
    <w:p w14:paraId="21E97103" w14:textId="47A3EBFD" w:rsidR="00E722C0" w:rsidRPr="00576785" w:rsidRDefault="005857C4" w:rsidP="00E722C0">
      <w:pPr>
        <w:pStyle w:val="Odstavecseseznamem"/>
        <w:numPr>
          <w:ilvl w:val="0"/>
          <w:numId w:val="8"/>
        </w:numPr>
        <w:spacing w:before="0" w:after="160" w:line="259" w:lineRule="auto"/>
        <w:ind w:left="993"/>
        <w:contextualSpacing/>
        <w:rPr>
          <w:rFonts w:eastAsiaTheme="minorEastAsia"/>
          <w:color w:val="000000" w:themeColor="text1"/>
        </w:rPr>
      </w:pPr>
      <w:hyperlink r:id="rId46">
        <w:r w:rsidR="00DA7E0D" w:rsidRPr="00CE217B">
          <w:rPr>
            <w:rStyle w:val="Hypertextovodkaz"/>
          </w:rPr>
          <w:t>Kanadská politika</w:t>
        </w:r>
      </w:hyperlink>
      <w:r w:rsidR="00DA7E0D" w:rsidRPr="00CE217B">
        <w:t xml:space="preserve">  partnerství s občanskou společností, přijatá v září 2017, obsahuje příklady dobré </w:t>
      </w:r>
      <w:r w:rsidR="00DA7E0D" w:rsidRPr="00576785">
        <w:rPr>
          <w:rFonts w:eastAsiaTheme="minorEastAsia"/>
          <w:color w:val="000000" w:themeColor="text1"/>
        </w:rPr>
        <w:t>praxe</w:t>
      </w:r>
      <w:r w:rsidR="00DA7E0D" w:rsidRPr="00CE217B">
        <w:t xml:space="preserve"> v řadě oblastí. Formuluje předvídatelnější, spravedlivější, pružnější a transparentnější mechanismy financování a Kanada postupně zavádí nové procesy pro uzavírání smluv s organizacemi občanské společnosti, včetně dvoustupňových výzev k předkládání návrhů, kalendáře dotačních výzev, delší období financování a zjednodušené požadavky na podávání zpráv a administraci</w:t>
      </w:r>
      <w:r w:rsidR="00DA7E0D" w:rsidRPr="00576785">
        <w:rPr>
          <w:color w:val="000000" w:themeColor="text1"/>
        </w:rPr>
        <w:t>.</w:t>
      </w:r>
    </w:p>
    <w:p w14:paraId="39A9F4EF" w14:textId="4C0578EB" w:rsidR="00DA7E0D" w:rsidRPr="00CE217B" w:rsidRDefault="00DA7E0D" w:rsidP="00B84ED1">
      <w:pPr>
        <w:pStyle w:val="Odstavecseseznamem"/>
        <w:numPr>
          <w:ilvl w:val="0"/>
          <w:numId w:val="8"/>
        </w:numPr>
        <w:spacing w:before="0" w:after="160" w:line="259" w:lineRule="auto"/>
        <w:ind w:left="993"/>
        <w:contextualSpacing/>
        <w:rPr>
          <w:rFonts w:eastAsiaTheme="minorEastAsia"/>
        </w:rPr>
      </w:pPr>
      <w:r w:rsidRPr="00576785">
        <w:rPr>
          <w:color w:val="000000" w:themeColor="text1"/>
        </w:rPr>
        <w:t xml:space="preserve">Pro Švédsko hraje občanská společnost důležitou roli při snižování chudoby a demokratické správě věcí veřejných v </w:t>
      </w:r>
      <w:r w:rsidRPr="00CE217B">
        <w:t xml:space="preserve">rozvojových zemích. V současné době má </w:t>
      </w:r>
      <w:hyperlink r:id="rId47" w:history="1">
        <w:r w:rsidRPr="00BF6B3D">
          <w:rPr>
            <w:rStyle w:val="Hypertextovodkaz"/>
          </w:rPr>
          <w:t>SIDA</w:t>
        </w:r>
      </w:hyperlink>
      <w:r w:rsidRPr="00CE217B">
        <w:t>, jedna z pěti vládních implementačních agentur, uzavřeny víceleté rámcové dohody s 15 švédskými organizacemi občanské společnosti, které jim umožňují financovat jejich vlastní programové priority v rámci zastřešujících pokynů stanovených agenturou.</w:t>
      </w:r>
    </w:p>
    <w:p w14:paraId="48265029" w14:textId="77777777" w:rsidR="00DA7E0D" w:rsidRPr="00CE217B" w:rsidRDefault="005857C4" w:rsidP="00B84ED1">
      <w:pPr>
        <w:pStyle w:val="Odstavecseseznamem"/>
        <w:numPr>
          <w:ilvl w:val="0"/>
          <w:numId w:val="8"/>
        </w:numPr>
        <w:spacing w:before="0" w:after="160" w:line="259" w:lineRule="auto"/>
        <w:ind w:left="993"/>
        <w:contextualSpacing/>
      </w:pPr>
      <w:hyperlink r:id="rId48">
        <w:r w:rsidR="00DA7E0D" w:rsidRPr="00CE217B">
          <w:rPr>
            <w:rStyle w:val="Hypertextovodkaz"/>
          </w:rPr>
          <w:t>Slovinsko</w:t>
        </w:r>
      </w:hyperlink>
      <w:r w:rsidR="00DA7E0D" w:rsidRPr="00CE217B">
        <w:t xml:space="preserve"> si je vědomo, že do realizace malých projektů v partnerských zemích je zapojeno mnoho malých nevládních organizací, což vyžaduje větší zaměření a stanovení priorit. Nově proto vymezilo své požadavky na víceleté financování</w:t>
      </w:r>
      <w:r w:rsidR="00DA7E0D" w:rsidRPr="00CE217B">
        <w:rPr>
          <w:b/>
          <w:bCs/>
        </w:rPr>
        <w:t xml:space="preserve"> </w:t>
      </w:r>
      <w:r w:rsidR="00DA7E0D" w:rsidRPr="00CE217B">
        <w:t>slovinských nevládních organizací a snížilo počet výzev k předkládání návrhů na projekty nevládních organizací na dvě výzvy ročně – jednu tematickou výzvu a druhou výzvu, která má doplnit financování slovinských nevládních organizací na projekty spolufinancované EU. Intenzivně také neustále systém financování modifikuje tak, aby lépe vyhovoval potřebám politiky ZRS a potřebám neziskových organizací.</w:t>
      </w:r>
    </w:p>
    <w:p w14:paraId="00DE1ED9" w14:textId="7830CEAC" w:rsidR="00DA7E0D" w:rsidRPr="00CE217B" w:rsidRDefault="00DA7E0D" w:rsidP="00B84ED1">
      <w:pPr>
        <w:pStyle w:val="Odstavecseseznamem"/>
        <w:numPr>
          <w:ilvl w:val="0"/>
          <w:numId w:val="8"/>
        </w:numPr>
        <w:spacing w:before="0" w:after="160" w:line="259" w:lineRule="auto"/>
        <w:ind w:left="993"/>
        <w:contextualSpacing/>
        <w:rPr>
          <w:rFonts w:eastAsiaTheme="minorEastAsia"/>
        </w:rPr>
      </w:pPr>
      <w:r w:rsidRPr="00CE217B">
        <w:t xml:space="preserve">Celková úroveň </w:t>
      </w:r>
      <w:proofErr w:type="spellStart"/>
      <w:r w:rsidRPr="00CE217B">
        <w:rPr>
          <w:i/>
          <w:iCs/>
        </w:rPr>
        <w:t>core</w:t>
      </w:r>
      <w:proofErr w:type="spellEnd"/>
      <w:r w:rsidRPr="00CE217B">
        <w:rPr>
          <w:i/>
          <w:iCs/>
        </w:rPr>
        <w:t xml:space="preserve"> </w:t>
      </w:r>
      <w:proofErr w:type="spellStart"/>
      <w:r w:rsidRPr="00CE217B">
        <w:rPr>
          <w:i/>
          <w:iCs/>
        </w:rPr>
        <w:t>funding</w:t>
      </w:r>
      <w:proofErr w:type="spellEnd"/>
      <w:r w:rsidRPr="00CE217B">
        <w:t xml:space="preserve"> </w:t>
      </w:r>
      <w:hyperlink r:id="rId49">
        <w:r w:rsidRPr="00CE217B">
          <w:rPr>
            <w:rStyle w:val="Hypertextovodkaz"/>
          </w:rPr>
          <w:t>britských</w:t>
        </w:r>
      </w:hyperlink>
      <w:r w:rsidRPr="00CE217B">
        <w:t xml:space="preserve"> nevládních organizací představuje přibližně pětinu celkové podpory NNO. Ministerstvo pro mezinárodní rozvoj si uvědomuje potřebu podpory organizačních kapacit, a proto přijalo progresivní přístup k režijním a správním nákladům na financování projektů, který byl vypracován v úzké konzultaci s občanskou společností.</w:t>
      </w:r>
    </w:p>
    <w:p w14:paraId="64521829" w14:textId="77777777" w:rsidR="00DA7E0D" w:rsidRPr="00CE217B" w:rsidRDefault="00DA7E0D" w:rsidP="00B84ED1">
      <w:pPr>
        <w:pStyle w:val="Odstavecseseznamem"/>
        <w:numPr>
          <w:ilvl w:val="0"/>
          <w:numId w:val="8"/>
        </w:numPr>
        <w:spacing w:before="0" w:after="0" w:line="259" w:lineRule="auto"/>
        <w:ind w:left="993"/>
        <w:contextualSpacing/>
        <w:rPr>
          <w:rFonts w:eastAsiaTheme="minorEastAsia"/>
        </w:rPr>
      </w:pPr>
      <w:r w:rsidRPr="00CE217B">
        <w:t xml:space="preserve">Obecnou potřebu diverzifikace zdrojů a budování kapacit uvádí také </w:t>
      </w:r>
      <w:proofErr w:type="spellStart"/>
      <w:r w:rsidRPr="00CE217B">
        <w:rPr>
          <w:i/>
          <w:iCs/>
        </w:rPr>
        <w:t>Partners</w:t>
      </w:r>
      <w:proofErr w:type="spellEnd"/>
      <w:r w:rsidRPr="00CE217B">
        <w:rPr>
          <w:i/>
          <w:iCs/>
        </w:rPr>
        <w:t xml:space="preserve"> </w:t>
      </w:r>
      <w:proofErr w:type="spellStart"/>
      <w:r w:rsidRPr="00CE217B">
        <w:rPr>
          <w:i/>
          <w:iCs/>
        </w:rPr>
        <w:t>for</w:t>
      </w:r>
      <w:proofErr w:type="spellEnd"/>
      <w:r w:rsidRPr="00CE217B">
        <w:rPr>
          <w:i/>
          <w:iCs/>
        </w:rPr>
        <w:t xml:space="preserve"> </w:t>
      </w:r>
      <w:proofErr w:type="spellStart"/>
      <w:r w:rsidRPr="00CE217B">
        <w:rPr>
          <w:i/>
          <w:iCs/>
        </w:rPr>
        <w:t>Resilience</w:t>
      </w:r>
      <w:proofErr w:type="spellEnd"/>
      <w:r w:rsidRPr="00CE217B">
        <w:t xml:space="preserve">. Ve </w:t>
      </w:r>
      <w:hyperlink r:id="rId50">
        <w:r w:rsidRPr="00CE217B">
          <w:rPr>
            <w:rStyle w:val="Hypertextovodkaz"/>
          </w:rPr>
          <w:t>výroční zprávě za rok 2019</w:t>
        </w:r>
      </w:hyperlink>
      <w:r w:rsidRPr="00CE217B">
        <w:t xml:space="preserve"> se uvádí, že v průběhu let se ukázalo, že je třeba posílit kapacity v takových dovednostech jako mobilizace zdrojů a komunikace. Partnerům občanské společnosti je třeba poskytnout podporu při diverzifikaci jejich finanční základny, aby mohli získávat finanční prostředky na integrované řízení rizik a prosazování zájmů.</w:t>
      </w:r>
    </w:p>
    <w:p w14:paraId="3C75D8FA" w14:textId="77777777" w:rsidR="00DA7E0D" w:rsidRPr="00CE217B" w:rsidRDefault="005857C4" w:rsidP="00B84ED1">
      <w:pPr>
        <w:pStyle w:val="Odstavecseseznamem"/>
        <w:numPr>
          <w:ilvl w:val="0"/>
          <w:numId w:val="8"/>
        </w:numPr>
        <w:spacing w:before="0" w:after="0" w:line="259" w:lineRule="auto"/>
        <w:ind w:left="993"/>
        <w:contextualSpacing/>
        <w:rPr>
          <w:rFonts w:eastAsiaTheme="minorEastAsia"/>
        </w:rPr>
      </w:pPr>
      <w:hyperlink r:id="rId51">
        <w:r w:rsidR="00DA7E0D" w:rsidRPr="00CE217B">
          <w:rPr>
            <w:rStyle w:val="Hypertextovodkaz"/>
          </w:rPr>
          <w:t>Irsko</w:t>
        </w:r>
      </w:hyperlink>
      <w:r w:rsidR="00DA7E0D" w:rsidRPr="00CE217B">
        <w:t xml:space="preserve"> je zajímavým příkladem, neboť poskytuje své finanční prostředky organizacím občanské společnosti na základě jasných kritérií, zaměřuje se na to, kde jsou potřeby největší, a předvídatelným a flexibilním způsobem spolupracuje s širokou škálou partnerů a prostřednictvím vhodných nástrojů. Tím se zvýšily celkové standardy kvality. Některé organizace občanské společnosti se však obávají toho, co vnímají jako odklon od irského modelu partnerství k </w:t>
      </w:r>
      <w:r w:rsidR="00DA7E0D" w:rsidRPr="00CE217B">
        <w:lastRenderedPageBreak/>
        <w:t>smluvnímu vztahu a s tím spojenou vysokou administrativní zátěž, zejména pro menší organizace. Je tedy zřejmé, že i ve vyspělých zemích se stále hledají optimální formy spolupráce.</w:t>
      </w:r>
    </w:p>
    <w:p w14:paraId="15D8A6BB" w14:textId="77777777" w:rsidR="00DA7E0D" w:rsidRPr="00CE217B" w:rsidRDefault="00DA7E0D" w:rsidP="00DA7E0D">
      <w:pPr>
        <w:rPr>
          <w:b/>
          <w:bCs/>
        </w:rPr>
      </w:pPr>
      <w:r w:rsidRPr="00CE217B">
        <w:rPr>
          <w:b/>
          <w:bCs/>
        </w:rPr>
        <w:t>Zvyšování kapacit centrálních orgánů</w:t>
      </w:r>
    </w:p>
    <w:p w14:paraId="33812335" w14:textId="77777777" w:rsidR="00DA7E0D" w:rsidRPr="00CE217B" w:rsidRDefault="00DA7E0D" w:rsidP="00DA7E0D">
      <w:r w:rsidRPr="00CE217B">
        <w:t xml:space="preserve">Aby mohla být ZRS realizována a politika v této oblasti skutečně naplňována, musí odpovědný orgán státní správy disponovat dostatečnými odbornými znalostmi, aby byl schopen formulovat vize a strategie, ale také spolupracovat s relevantními stakeholdery a být jim schopen poskytovat metodickou pomoc. </w:t>
      </w:r>
    </w:p>
    <w:p w14:paraId="7C3088D5" w14:textId="4F82616F" w:rsidR="00DA7E0D" w:rsidRPr="00CE217B" w:rsidRDefault="00DA7E0D" w:rsidP="00B84ED1">
      <w:pPr>
        <w:pStyle w:val="Odstavecseseznamem"/>
        <w:numPr>
          <w:ilvl w:val="0"/>
          <w:numId w:val="9"/>
        </w:numPr>
        <w:spacing w:before="0" w:after="160" w:line="259" w:lineRule="auto"/>
        <w:ind w:left="993"/>
        <w:contextualSpacing/>
        <w:rPr>
          <w:rFonts w:eastAsiaTheme="minorEastAsia"/>
        </w:rPr>
      </w:pPr>
      <w:r w:rsidRPr="00CE217B">
        <w:t xml:space="preserve">To je příklad </w:t>
      </w:r>
      <w:hyperlink r:id="rId52">
        <w:r w:rsidRPr="00CE217B">
          <w:rPr>
            <w:rStyle w:val="Hypertextovodkaz"/>
          </w:rPr>
          <w:t>Německa</w:t>
        </w:r>
      </w:hyperlink>
      <w:r w:rsidRPr="00CE217B">
        <w:t xml:space="preserve">, kde </w:t>
      </w:r>
      <w:hyperlink r:id="rId53">
        <w:proofErr w:type="spellStart"/>
        <w:r w:rsidRPr="00CE217B">
          <w:rPr>
            <w:rStyle w:val="Hypertextovodkaz"/>
          </w:rPr>
          <w:t>Engagement</w:t>
        </w:r>
        <w:proofErr w:type="spellEnd"/>
        <w:r w:rsidRPr="00CE217B">
          <w:rPr>
            <w:rStyle w:val="Hypertextovodkaz"/>
          </w:rPr>
          <w:t xml:space="preserve"> </w:t>
        </w:r>
        <w:proofErr w:type="spellStart"/>
        <w:r w:rsidRPr="00CE217B">
          <w:rPr>
            <w:rStyle w:val="Hypertextovodkaz"/>
          </w:rPr>
          <w:t>Global</w:t>
        </w:r>
        <w:proofErr w:type="spellEnd"/>
      </w:hyperlink>
      <w:r w:rsidRPr="00CE217B">
        <w:t>, plně financovaná Ministerstvem pro ekonomickou spolupráci a rozvoj, zaměstnává 150 pracovníků na plný úvazek a poskytuje těmto aktérům informační a poradenské služby (což má dopad na kapacitní možnosti nestátních subjektů) a také řídí procesy financování (výběr a monitorování spolufinancovaných projektů).</w:t>
      </w:r>
    </w:p>
    <w:p w14:paraId="6CFE58C0" w14:textId="3B1FD142" w:rsidR="00DA7E0D" w:rsidRPr="00CE217B" w:rsidRDefault="00DA7E0D" w:rsidP="00B84ED1">
      <w:pPr>
        <w:pStyle w:val="Odstavecseseznamem"/>
        <w:numPr>
          <w:ilvl w:val="0"/>
          <w:numId w:val="9"/>
        </w:numPr>
        <w:spacing w:before="0" w:after="160" w:line="259" w:lineRule="auto"/>
        <w:ind w:left="993"/>
        <w:contextualSpacing/>
        <w:rPr>
          <w:rFonts w:eastAsiaTheme="minorEastAsia"/>
        </w:rPr>
      </w:pPr>
      <w:r w:rsidRPr="00CE217B">
        <w:t xml:space="preserve">Stejně tak </w:t>
      </w:r>
      <w:r w:rsidR="00B6099B">
        <w:t>m</w:t>
      </w:r>
      <w:r w:rsidRPr="00CE217B">
        <w:t>inisterstvo zahraničních věcí a švédská mezinárodní organizace Agentura pro rozvojovou spolupráci (</w:t>
      </w:r>
      <w:hyperlink r:id="rId54">
        <w:r w:rsidRPr="00CE217B">
          <w:rPr>
            <w:rStyle w:val="Hypertextovodkaz"/>
          </w:rPr>
          <w:t>SIDA</w:t>
        </w:r>
      </w:hyperlink>
      <w:r w:rsidRPr="00CE217B">
        <w:t xml:space="preserve">) podnikly kroky k posílení svých kapacit. SIDA posiluje své kapacity i ve specifických oblastech: </w:t>
      </w:r>
      <w:hyperlink r:id="rId55">
        <w:r w:rsidRPr="00CE217B">
          <w:rPr>
            <w:rStyle w:val="Hypertextovodkaz"/>
          </w:rPr>
          <w:t>Švédsko</w:t>
        </w:r>
      </w:hyperlink>
      <w:r w:rsidRPr="00CE217B">
        <w:t xml:space="preserve"> je lídrem v poskytování pomoci zaměřené na rovnost žen a mužů. SIDA podporuje své zaměstnance, aby operacionalizovali rovnost žen a mužů napříč švédskými programy, a to prostřednictvím nové globální strategie, sítě specialistů a poradců z řad zaměstnanců a regionálních oddělení pro pomoc ženám a mužům. Švédská feministická zahraniční politika umožňuje Švédsku využívat celou škálu nástrojů své zahraniční politiky – diplomacii, bezpečnost a obchod – k dosažení cíle rovnosti žen a mužů (OECD Development Co‑</w:t>
      </w:r>
      <w:proofErr w:type="spellStart"/>
      <w:r w:rsidRPr="00CE217B">
        <w:t>operation</w:t>
      </w:r>
      <w:proofErr w:type="spellEnd"/>
      <w:r w:rsidRPr="00CE217B">
        <w:t xml:space="preserve"> Peer </w:t>
      </w:r>
      <w:proofErr w:type="spellStart"/>
      <w:r w:rsidRPr="00CE217B">
        <w:t>Reviews</w:t>
      </w:r>
      <w:proofErr w:type="spellEnd"/>
      <w:r w:rsidRPr="00CE217B">
        <w:t xml:space="preserve">: </w:t>
      </w:r>
      <w:proofErr w:type="spellStart"/>
      <w:r w:rsidR="00E41491" w:rsidRPr="00CE217B">
        <w:t>Sweden</w:t>
      </w:r>
      <w:proofErr w:type="spellEnd"/>
      <w:r w:rsidR="00E41491" w:rsidRPr="00CE217B">
        <w:t xml:space="preserve"> (2019)</w:t>
      </w:r>
      <w:r w:rsidRPr="00CE217B">
        <w:t>).</w:t>
      </w:r>
    </w:p>
    <w:p w14:paraId="2B5EB865" w14:textId="77777777" w:rsidR="00DA7E0D" w:rsidRPr="00CE217B" w:rsidRDefault="00DA7E0D" w:rsidP="00DA7E0D">
      <w:pPr>
        <w:rPr>
          <w:b/>
          <w:bCs/>
        </w:rPr>
      </w:pPr>
      <w:r w:rsidRPr="00CE217B">
        <w:rPr>
          <w:b/>
          <w:bCs/>
        </w:rPr>
        <w:t>Reportování a vyhodnocování</w:t>
      </w:r>
    </w:p>
    <w:p w14:paraId="6BD4C372" w14:textId="77777777" w:rsidR="00DA7E0D" w:rsidRPr="00CE217B" w:rsidRDefault="00DA7E0D" w:rsidP="00B84ED1">
      <w:pPr>
        <w:pStyle w:val="Odstavecseseznamem"/>
        <w:numPr>
          <w:ilvl w:val="0"/>
          <w:numId w:val="10"/>
        </w:numPr>
        <w:spacing w:before="0" w:after="160" w:line="259" w:lineRule="auto"/>
        <w:ind w:left="993"/>
        <w:contextualSpacing/>
        <w:rPr>
          <w:rFonts w:eastAsiaTheme="minorEastAsia"/>
        </w:rPr>
      </w:pPr>
      <w:r w:rsidRPr="00CE217B">
        <w:t>Mechanismy reportování kladou důraz na relevanci, výsledky a učení a zároveň omezují administrativní náklady (</w:t>
      </w:r>
      <w:hyperlink r:id="rId56">
        <w:r w:rsidRPr="00CE217B">
          <w:rPr>
            <w:rStyle w:val="Hypertextovodkaz"/>
          </w:rPr>
          <w:t>Belgie</w:t>
        </w:r>
      </w:hyperlink>
      <w:r w:rsidRPr="00CE217B">
        <w:t xml:space="preserve">). </w:t>
      </w:r>
    </w:p>
    <w:p w14:paraId="5C5AD490" w14:textId="77777777" w:rsidR="00DA7E0D" w:rsidRPr="00CE217B" w:rsidRDefault="005857C4" w:rsidP="00B84ED1">
      <w:pPr>
        <w:pStyle w:val="Odstavecseseznamem"/>
        <w:numPr>
          <w:ilvl w:val="0"/>
          <w:numId w:val="10"/>
        </w:numPr>
        <w:spacing w:before="0" w:after="160" w:line="259" w:lineRule="auto"/>
        <w:ind w:left="993"/>
        <w:contextualSpacing/>
      </w:pPr>
      <w:hyperlink r:id="rId57">
        <w:r w:rsidR="00DA7E0D" w:rsidRPr="00CE217B">
          <w:rPr>
            <w:rStyle w:val="Hypertextovodkaz"/>
          </w:rPr>
          <w:t>Irsko</w:t>
        </w:r>
      </w:hyperlink>
      <w:r w:rsidR="00DA7E0D" w:rsidRPr="00CE217B">
        <w:t xml:space="preserve"> také při financování organizací občanské společnosti dobře využívá sdružených fondů (tzv. </w:t>
      </w:r>
      <w:proofErr w:type="spellStart"/>
      <w:r w:rsidR="00DA7E0D" w:rsidRPr="00CE217B">
        <w:rPr>
          <w:i/>
          <w:iCs/>
        </w:rPr>
        <w:t>pooled</w:t>
      </w:r>
      <w:proofErr w:type="spellEnd"/>
      <w:r w:rsidR="00DA7E0D" w:rsidRPr="00CE217B">
        <w:rPr>
          <w:i/>
          <w:iCs/>
        </w:rPr>
        <w:t xml:space="preserve"> </w:t>
      </w:r>
      <w:proofErr w:type="spellStart"/>
      <w:r w:rsidR="00DA7E0D" w:rsidRPr="00CE217B">
        <w:rPr>
          <w:i/>
          <w:iCs/>
        </w:rPr>
        <w:t>funds</w:t>
      </w:r>
      <w:proofErr w:type="spellEnd"/>
      <w:r w:rsidR="00DA7E0D" w:rsidRPr="00CE217B">
        <w:t>), které snižují zátěž spojenou s podáváním zpráv a jsou považovány za většinou účinnější než jednotlivé programy.</w:t>
      </w:r>
    </w:p>
    <w:p w14:paraId="239984BC" w14:textId="2CA7E767" w:rsidR="00DA7E0D" w:rsidRPr="00CE217B" w:rsidRDefault="00DA7E0D" w:rsidP="00B84ED1">
      <w:pPr>
        <w:pStyle w:val="Odstavecseseznamem"/>
        <w:numPr>
          <w:ilvl w:val="0"/>
          <w:numId w:val="10"/>
        </w:numPr>
        <w:spacing w:before="0" w:after="160" w:line="259" w:lineRule="auto"/>
        <w:ind w:left="993"/>
        <w:contextualSpacing/>
        <w:rPr>
          <w:rFonts w:eastAsia="Calibri"/>
        </w:rPr>
      </w:pPr>
      <w:r w:rsidRPr="00CE217B">
        <w:rPr>
          <w:rFonts w:eastAsia="Calibri"/>
        </w:rPr>
        <w:t>Trendem se postupně stává propracovaný evaluační proces, a to nejen po ukončení projektu, ale během celého projektového, resp. programového cyklu. Příkladem ze zámoří je americká Agentura pro mezinárodní rozvoj, která klade důraz jak na hodnocení výkonu (</w:t>
      </w:r>
      <w:r w:rsidRPr="00CE217B">
        <w:rPr>
          <w:rFonts w:eastAsia="Calibri"/>
          <w:i/>
          <w:iCs/>
        </w:rPr>
        <w:t>performance</w:t>
      </w:r>
      <w:r w:rsidRPr="00CE217B">
        <w:rPr>
          <w:rFonts w:eastAsia="Calibri"/>
        </w:rPr>
        <w:t>), tak na hodnocení dopadu (</w:t>
      </w:r>
      <w:proofErr w:type="spellStart"/>
      <w:r w:rsidRPr="00CE217B">
        <w:rPr>
          <w:rFonts w:eastAsia="Calibri"/>
          <w:i/>
          <w:iCs/>
        </w:rPr>
        <w:t>impact</w:t>
      </w:r>
      <w:proofErr w:type="spellEnd"/>
      <w:r w:rsidRPr="00CE217B">
        <w:rPr>
          <w:rFonts w:eastAsia="Calibri"/>
        </w:rPr>
        <w:t>) a zdůrazňuje potřebu měření změn jak během programu, tak po něm. To samozřejmě vyžaduje kvalitní formulaci strategických cílů ZRS a dostatečné podpory poskytované v rámci dotačních schémat.</w:t>
      </w:r>
    </w:p>
    <w:p w14:paraId="5385F3C4" w14:textId="1D036B14" w:rsidR="00DA7E0D" w:rsidRPr="00CE217B" w:rsidRDefault="00DA7E0D" w:rsidP="00B84ED1">
      <w:pPr>
        <w:pStyle w:val="Odstavecseseznamem"/>
        <w:numPr>
          <w:ilvl w:val="0"/>
          <w:numId w:val="10"/>
        </w:numPr>
        <w:spacing w:before="0" w:after="160" w:line="259" w:lineRule="auto"/>
        <w:ind w:left="993"/>
        <w:contextualSpacing/>
        <w:rPr>
          <w:rFonts w:eastAsia="Calibri"/>
        </w:rPr>
      </w:pPr>
      <w:r w:rsidRPr="00CE217B">
        <w:rPr>
          <w:rFonts w:eastAsia="Calibri"/>
        </w:rPr>
        <w:t>Precizní stanovení cílů podpůrných programů i cílů evaluace akcentuje i britské ministerstvo pro mezinárodní spolupráci a rozvoj. I zde se setkáváme s aplikací postupů zjišťujících, zda došlo k plánované změně a jaký dopad měla změna na různé skupiny zúčastněných stran. Významným prvkem vstupujícím do hodnocení je i kontext a specifické charakteristiky programu.</w:t>
      </w:r>
    </w:p>
    <w:p w14:paraId="54E58D61" w14:textId="47A11D2B" w:rsidR="00DA7E0D" w:rsidRPr="00CE217B" w:rsidRDefault="00DA7E0D" w:rsidP="00B84ED1">
      <w:pPr>
        <w:pStyle w:val="Odstavecseseznamem"/>
        <w:numPr>
          <w:ilvl w:val="0"/>
          <w:numId w:val="10"/>
        </w:numPr>
        <w:spacing w:before="0" w:after="160" w:line="259" w:lineRule="auto"/>
        <w:ind w:left="993"/>
        <w:contextualSpacing/>
        <w:rPr>
          <w:rFonts w:eastAsia="Calibri"/>
        </w:rPr>
      </w:pPr>
      <w:r w:rsidRPr="00CE217B">
        <w:rPr>
          <w:rFonts w:eastAsia="Calibri"/>
        </w:rPr>
        <w:t>Pro evaluace realizované specializovaným nizozemským útvarem (</w:t>
      </w:r>
      <w:proofErr w:type="spellStart"/>
      <w:r w:rsidRPr="00CE217B">
        <w:rPr>
          <w:rFonts w:eastAsia="Calibri"/>
          <w:i/>
          <w:iCs/>
        </w:rPr>
        <w:t>Policy</w:t>
      </w:r>
      <w:proofErr w:type="spellEnd"/>
      <w:r w:rsidRPr="00CE217B">
        <w:rPr>
          <w:rFonts w:eastAsia="Calibri"/>
          <w:i/>
          <w:iCs/>
        </w:rPr>
        <w:t xml:space="preserve"> and </w:t>
      </w:r>
      <w:proofErr w:type="spellStart"/>
      <w:r w:rsidRPr="00CE217B">
        <w:rPr>
          <w:rFonts w:eastAsia="Calibri"/>
          <w:i/>
          <w:iCs/>
        </w:rPr>
        <w:t>Operations</w:t>
      </w:r>
      <w:proofErr w:type="spellEnd"/>
      <w:r w:rsidRPr="00CE217B">
        <w:rPr>
          <w:rFonts w:eastAsia="Calibri"/>
          <w:i/>
          <w:iCs/>
        </w:rPr>
        <w:t xml:space="preserve"> </w:t>
      </w:r>
      <w:proofErr w:type="spellStart"/>
      <w:r w:rsidRPr="00CE217B">
        <w:rPr>
          <w:rFonts w:eastAsia="Calibri"/>
          <w:i/>
          <w:iCs/>
        </w:rPr>
        <w:t>Evaluation</w:t>
      </w:r>
      <w:proofErr w:type="spellEnd"/>
      <w:r w:rsidRPr="00CE217B">
        <w:rPr>
          <w:rFonts w:eastAsia="Calibri"/>
          <w:i/>
          <w:iCs/>
        </w:rPr>
        <w:t xml:space="preserve"> Department</w:t>
      </w:r>
      <w:r w:rsidRPr="00CE217B">
        <w:rPr>
          <w:rFonts w:eastAsia="Calibri"/>
        </w:rPr>
        <w:t>) je jedním ze základních kritérií evaluace účinnost intervence nebo programu za účelem stanovení kauzálního vztahu, který spojuje výstupy s požadovanými efekty. Hodnocení dopadů rovněž zohledňuje nezamýšlené změny vyvolané intervencí. Stejně důležité je, aby hodnocení zahrnovalo negativní i krátkodobé účinky (kterým je možné se vyhnout nebo je zmírnit), jakož i dlouhodobé účinky, které mohou mít škodlivé důsledky</w:t>
      </w:r>
      <w:r w:rsidR="00FC7474">
        <w:rPr>
          <w:rFonts w:eastAsia="Calibri"/>
        </w:rPr>
        <w:t>,</w:t>
      </w:r>
      <w:r w:rsidRPr="00CE217B">
        <w:rPr>
          <w:rFonts w:eastAsia="Calibri"/>
        </w:rPr>
        <w:t xml:space="preserve"> nebo dokonce neutralizovat pozitivní změny.</w:t>
      </w:r>
    </w:p>
    <w:p w14:paraId="056DA0A7" w14:textId="4EABACB0" w:rsidR="00DA7E0D" w:rsidRPr="00CE217B" w:rsidRDefault="00DA7E0D" w:rsidP="00B84ED1">
      <w:pPr>
        <w:pStyle w:val="Odstavecseseznamem"/>
        <w:numPr>
          <w:ilvl w:val="0"/>
          <w:numId w:val="10"/>
        </w:numPr>
        <w:spacing w:before="0" w:after="160" w:line="259" w:lineRule="auto"/>
        <w:ind w:left="993"/>
        <w:contextualSpacing/>
        <w:rPr>
          <w:rFonts w:eastAsia="Calibri"/>
        </w:rPr>
      </w:pPr>
      <w:r w:rsidRPr="00CE217B">
        <w:rPr>
          <w:rFonts w:eastAsia="Calibri"/>
        </w:rPr>
        <w:t>Obecně lze shrnout, že evaluace není vnímána jako nutné zlo, ale organická součást procesu podpory zahraniční rozvojové spoluprác</w:t>
      </w:r>
      <w:r w:rsidR="00FC7474">
        <w:rPr>
          <w:rFonts w:eastAsia="Calibri"/>
        </w:rPr>
        <w:t>e</w:t>
      </w:r>
      <w:r w:rsidRPr="00CE217B">
        <w:rPr>
          <w:rFonts w:eastAsia="Calibri"/>
        </w:rPr>
        <w:t>. Aby ale mohly být adekvátně využívány pro evidence-</w:t>
      </w:r>
      <w:proofErr w:type="spellStart"/>
      <w:r w:rsidRPr="00CE217B">
        <w:rPr>
          <w:rFonts w:eastAsia="Calibri"/>
        </w:rPr>
        <w:t>based</w:t>
      </w:r>
      <w:proofErr w:type="spellEnd"/>
      <w:r w:rsidRPr="00CE217B">
        <w:rPr>
          <w:rFonts w:eastAsia="Calibri"/>
        </w:rPr>
        <w:t xml:space="preserve"> management politiky ZRS, je nezbytné dodržovat i všechny ostatní klíčové prvky strategického programování.</w:t>
      </w:r>
    </w:p>
    <w:p w14:paraId="22D217E9" w14:textId="77777777" w:rsidR="00DA7E0D" w:rsidRPr="00CE217B" w:rsidRDefault="00DA7E0D" w:rsidP="00DA7E0D">
      <w:pPr>
        <w:rPr>
          <w:b/>
          <w:bCs/>
        </w:rPr>
      </w:pPr>
      <w:r w:rsidRPr="00CE217B">
        <w:rPr>
          <w:b/>
          <w:bCs/>
        </w:rPr>
        <w:lastRenderedPageBreak/>
        <w:t>Spolupráce mezi neziskovými organizacemi</w:t>
      </w:r>
    </w:p>
    <w:p w14:paraId="70EC045B" w14:textId="77777777" w:rsidR="00DA7E0D" w:rsidRPr="00CE217B" w:rsidRDefault="00DA7E0D" w:rsidP="00B84ED1">
      <w:pPr>
        <w:pStyle w:val="Odstavecseseznamem"/>
        <w:numPr>
          <w:ilvl w:val="0"/>
          <w:numId w:val="10"/>
        </w:numPr>
        <w:spacing w:before="0" w:after="160" w:line="259" w:lineRule="auto"/>
        <w:ind w:left="993"/>
        <w:contextualSpacing/>
      </w:pPr>
      <w:r w:rsidRPr="00CE217B">
        <w:t xml:space="preserve">Sítě, střechy a aliance jsou v oblasti ZRS velmi významným prvkem. Patrně nejzajímavějším na evropské scéně je uskupení </w:t>
      </w:r>
      <w:hyperlink r:id="rId58">
        <w:proofErr w:type="spellStart"/>
        <w:r w:rsidRPr="00CE217B">
          <w:rPr>
            <w:rStyle w:val="Hypertextovodkaz"/>
            <w:i/>
            <w:iCs/>
          </w:rPr>
          <w:t>Partners</w:t>
        </w:r>
        <w:proofErr w:type="spellEnd"/>
        <w:r w:rsidRPr="00CE217B">
          <w:rPr>
            <w:rStyle w:val="Hypertextovodkaz"/>
            <w:i/>
            <w:iCs/>
          </w:rPr>
          <w:t xml:space="preserve"> </w:t>
        </w:r>
        <w:proofErr w:type="spellStart"/>
        <w:r w:rsidRPr="00CE217B">
          <w:rPr>
            <w:rStyle w:val="Hypertextovodkaz"/>
            <w:i/>
            <w:iCs/>
          </w:rPr>
          <w:t>for</w:t>
        </w:r>
        <w:proofErr w:type="spellEnd"/>
        <w:r w:rsidRPr="00CE217B">
          <w:rPr>
            <w:rStyle w:val="Hypertextovodkaz"/>
            <w:i/>
            <w:iCs/>
          </w:rPr>
          <w:t xml:space="preserve"> </w:t>
        </w:r>
        <w:proofErr w:type="spellStart"/>
        <w:r w:rsidRPr="00CE217B">
          <w:rPr>
            <w:rStyle w:val="Hypertextovodkaz"/>
            <w:i/>
            <w:iCs/>
          </w:rPr>
          <w:t>Resilience</w:t>
        </w:r>
        <w:proofErr w:type="spellEnd"/>
      </w:hyperlink>
      <w:r w:rsidRPr="00CE217B">
        <w:t xml:space="preserve">. Jde o aliance humanitárních, rozvojových, klimatických a environmentálních organizací občanské společnosti, kterou tvoří zakládající členové aliance (pět organizací se sídlem v Nizozemsku: CARE </w:t>
      </w:r>
      <w:proofErr w:type="spellStart"/>
      <w:r w:rsidRPr="00CE217B">
        <w:t>Nederland</w:t>
      </w:r>
      <w:proofErr w:type="spellEnd"/>
      <w:r w:rsidRPr="00CE217B">
        <w:t xml:space="preserve">, </w:t>
      </w:r>
      <w:proofErr w:type="spellStart"/>
      <w:r w:rsidRPr="00CE217B">
        <w:t>Cordaid</w:t>
      </w:r>
      <w:proofErr w:type="spellEnd"/>
      <w:r w:rsidRPr="00CE217B">
        <w:t xml:space="preserve">, Nizozemský červený kříž, Klimatické centrum Červeného kříže a </w:t>
      </w:r>
      <w:proofErr w:type="spellStart"/>
      <w:r w:rsidRPr="00CE217B">
        <w:t>Wetlands</w:t>
      </w:r>
      <w:proofErr w:type="spellEnd"/>
      <w:r w:rsidRPr="00CE217B">
        <w:t xml:space="preserve"> International) a jejich partnerské organizace občanské společnosti. Jedním z jejich programů je na jiném místě zmíněný </w:t>
      </w:r>
      <w:hyperlink r:id="rId59">
        <w:proofErr w:type="spellStart"/>
        <w:r w:rsidRPr="00CE217B">
          <w:rPr>
            <w:rStyle w:val="Hypertextovodkaz"/>
            <w:i/>
            <w:iCs/>
          </w:rPr>
          <w:t>Dialogue</w:t>
        </w:r>
        <w:proofErr w:type="spellEnd"/>
        <w:r w:rsidRPr="00CE217B">
          <w:rPr>
            <w:rStyle w:val="Hypertextovodkaz"/>
            <w:i/>
            <w:iCs/>
          </w:rPr>
          <w:t xml:space="preserve"> and </w:t>
        </w:r>
        <w:proofErr w:type="spellStart"/>
        <w:r w:rsidRPr="00CE217B">
          <w:rPr>
            <w:rStyle w:val="Hypertextovodkaz"/>
            <w:i/>
            <w:iCs/>
          </w:rPr>
          <w:t>Dissent</w:t>
        </w:r>
        <w:proofErr w:type="spellEnd"/>
      </w:hyperlink>
      <w:r w:rsidRPr="00CE217B">
        <w:t>.</w:t>
      </w:r>
    </w:p>
    <w:p w14:paraId="4C6A14D0" w14:textId="77777777" w:rsidR="00DA7E0D" w:rsidRPr="00CE217B" w:rsidRDefault="00DA7E0D" w:rsidP="00B84ED1">
      <w:pPr>
        <w:pStyle w:val="Nadpis2"/>
        <w:numPr>
          <w:ilvl w:val="1"/>
          <w:numId w:val="16"/>
        </w:numPr>
        <w:rPr>
          <w:rFonts w:cs="Times New Roman"/>
        </w:rPr>
      </w:pPr>
      <w:bookmarkStart w:id="67" w:name="_Toc75263416"/>
      <w:r w:rsidRPr="00CE217B">
        <w:rPr>
          <w:rFonts w:cs="Times New Roman"/>
        </w:rPr>
        <w:t>Shrnutí a implikace pro českou ZRS</w:t>
      </w:r>
      <w:bookmarkEnd w:id="67"/>
    </w:p>
    <w:p w14:paraId="1CAD4FA0" w14:textId="77777777" w:rsidR="00DA7E0D" w:rsidRPr="00CE217B" w:rsidRDefault="00DA7E0D" w:rsidP="00DA7E0D">
      <w:pPr>
        <w:rPr>
          <w:highlight w:val="yellow"/>
        </w:rPr>
      </w:pPr>
      <w:r w:rsidRPr="00CE217B">
        <w:t xml:space="preserve">Níže uvedená tabulka shrnuje hlavní zjištění rešerše dobré praxe v zahraničí. Pokud některá země exceluje v jedné oblasti, například partnerství, pravděpodobně u ní nalezneme i příklady dobré praxe z jiných oblastí (typicky financování). Jde o spojené </w:t>
      </w:r>
      <w:proofErr w:type="gramStart"/>
      <w:r w:rsidRPr="00CE217B">
        <w:t>nádoby - pokud</w:t>
      </w:r>
      <w:proofErr w:type="gramEnd"/>
      <w:r w:rsidRPr="00CE217B">
        <w:t xml:space="preserve"> země zaujímá k přímým poskytovatelům ZRS vstřícný postoj a aplikuje partnerské vzorce chování, je logické, že z tohoto vztahu vyplynou kvalitativně odlišné výsledky než v případech bez této partnerské praxe. </w:t>
      </w:r>
    </w:p>
    <w:p w14:paraId="3FD45B5B" w14:textId="40B347F8" w:rsidR="00DA7E0D" w:rsidRPr="00CE217B" w:rsidRDefault="00DA7E0D" w:rsidP="00DA7E0D">
      <w:pPr>
        <w:rPr>
          <w:b/>
          <w:bCs/>
        </w:rPr>
      </w:pPr>
      <w:r w:rsidRPr="00426E05">
        <w:rPr>
          <w:b/>
          <w:bCs/>
        </w:rPr>
        <w:t>Tabulka 3: Základní shrnutí dobrých praxí podle oblastí, zemí a klíčových prvků dobré praxe</w:t>
      </w:r>
    </w:p>
    <w:tbl>
      <w:tblPr>
        <w:tblStyle w:val="Mkatabulky"/>
        <w:tblW w:w="0" w:type="auto"/>
        <w:tblLayout w:type="fixed"/>
        <w:tblLook w:val="0600" w:firstRow="0" w:lastRow="0" w:firstColumn="0" w:lastColumn="0" w:noHBand="1" w:noVBand="1"/>
      </w:tblPr>
      <w:tblGrid>
        <w:gridCol w:w="3004"/>
        <w:gridCol w:w="2424"/>
        <w:gridCol w:w="3632"/>
      </w:tblGrid>
      <w:tr w:rsidR="00DA7E0D" w:rsidRPr="00CE217B" w14:paraId="2FDA3E99" w14:textId="77777777" w:rsidTr="00AD5FA3">
        <w:trPr>
          <w:trHeight w:val="555"/>
        </w:trPr>
        <w:tc>
          <w:tcPr>
            <w:tcW w:w="3004"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E7E6E6" w:themeFill="background2"/>
          </w:tcPr>
          <w:p w14:paraId="50C18EAB" w14:textId="77777777" w:rsidR="00DA7E0D" w:rsidRPr="00CE217B" w:rsidRDefault="00DA7E0D" w:rsidP="00AD5FA3">
            <w:pPr>
              <w:rPr>
                <w:rFonts w:eastAsia="Calibri"/>
                <w:b/>
                <w:bCs/>
              </w:rPr>
            </w:pPr>
            <w:r w:rsidRPr="00CE217B">
              <w:rPr>
                <w:rFonts w:eastAsia="Calibri"/>
                <w:b/>
                <w:bCs/>
              </w:rPr>
              <w:t xml:space="preserve">Oblasti dobré praxe </w:t>
            </w:r>
          </w:p>
        </w:tc>
        <w:tc>
          <w:tcPr>
            <w:tcW w:w="2424"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E7E6E6" w:themeFill="background2"/>
          </w:tcPr>
          <w:p w14:paraId="2C8B2371" w14:textId="77777777" w:rsidR="00DA7E0D" w:rsidRPr="00CE217B" w:rsidRDefault="00DA7E0D" w:rsidP="00AD5FA3">
            <w:pPr>
              <w:rPr>
                <w:rFonts w:eastAsia="Calibri"/>
                <w:b/>
                <w:bCs/>
              </w:rPr>
            </w:pPr>
            <w:r w:rsidRPr="00CE217B">
              <w:rPr>
                <w:rFonts w:eastAsia="Calibri"/>
                <w:b/>
                <w:bCs/>
              </w:rPr>
              <w:t xml:space="preserve">Příklady zemí </w:t>
            </w:r>
          </w:p>
        </w:tc>
        <w:tc>
          <w:tcPr>
            <w:tcW w:w="3632"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E7E6E6" w:themeFill="background2"/>
          </w:tcPr>
          <w:p w14:paraId="70DB8069" w14:textId="77777777" w:rsidR="00DA7E0D" w:rsidRPr="00CE217B" w:rsidRDefault="00DA7E0D" w:rsidP="00AD5FA3">
            <w:pPr>
              <w:rPr>
                <w:rFonts w:eastAsia="Calibri"/>
                <w:b/>
                <w:bCs/>
              </w:rPr>
            </w:pPr>
            <w:r w:rsidRPr="00CE217B">
              <w:rPr>
                <w:rFonts w:eastAsia="Calibri"/>
                <w:b/>
                <w:bCs/>
              </w:rPr>
              <w:t>Klíčové prvky či hodnoty dobré praxe</w:t>
            </w:r>
          </w:p>
        </w:tc>
      </w:tr>
      <w:tr w:rsidR="00DA7E0D" w:rsidRPr="00CE217B" w14:paraId="598CEFA1" w14:textId="77777777" w:rsidTr="00AD5FA3">
        <w:trPr>
          <w:trHeight w:val="900"/>
        </w:trPr>
        <w:tc>
          <w:tcPr>
            <w:tcW w:w="300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62A03032" w14:textId="77777777" w:rsidR="00DA7E0D" w:rsidRPr="00CE217B" w:rsidRDefault="00DA7E0D" w:rsidP="00AD5FA3">
            <w:pPr>
              <w:rPr>
                <w:rFonts w:eastAsia="Calibri"/>
                <w:sz w:val="20"/>
                <w:szCs w:val="20"/>
              </w:rPr>
            </w:pPr>
            <w:r w:rsidRPr="00CE217B">
              <w:rPr>
                <w:rFonts w:eastAsia="Calibri"/>
                <w:sz w:val="20"/>
                <w:szCs w:val="20"/>
              </w:rPr>
              <w:t xml:space="preserve">Partnerský vztah k organizacím občanské společnosti </w:t>
            </w:r>
          </w:p>
        </w:tc>
        <w:tc>
          <w:tcPr>
            <w:tcW w:w="242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3665EC58" w14:textId="77777777" w:rsidR="00DA7E0D" w:rsidRPr="00CE217B" w:rsidRDefault="00DA7E0D" w:rsidP="00AD5FA3">
            <w:pPr>
              <w:rPr>
                <w:rFonts w:eastAsia="Calibri"/>
                <w:sz w:val="20"/>
                <w:szCs w:val="20"/>
              </w:rPr>
            </w:pPr>
            <w:r w:rsidRPr="00CE217B">
              <w:rPr>
                <w:rFonts w:eastAsia="Calibri"/>
                <w:sz w:val="20"/>
                <w:szCs w:val="20"/>
              </w:rPr>
              <w:t xml:space="preserve">Belgie, Kanada, Irsko, Nizozemsko </w:t>
            </w:r>
          </w:p>
        </w:tc>
        <w:tc>
          <w:tcPr>
            <w:tcW w:w="363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7F28C14F" w14:textId="77777777" w:rsidR="00DA7E0D" w:rsidRPr="00CE217B" w:rsidRDefault="00DA7E0D" w:rsidP="00AD5FA3">
            <w:pPr>
              <w:rPr>
                <w:rFonts w:eastAsia="Calibri"/>
                <w:sz w:val="20"/>
                <w:szCs w:val="20"/>
              </w:rPr>
            </w:pPr>
            <w:r w:rsidRPr="00CE217B">
              <w:rPr>
                <w:rFonts w:eastAsia="Calibri"/>
                <w:sz w:val="20"/>
                <w:szCs w:val="20"/>
              </w:rPr>
              <w:t>Pochopení nezbytnosti NNO v ZRS, ochota vstupovat do dlouhodobých partnerských vztahů, vzájemné porozumění, sdílená vize</w:t>
            </w:r>
          </w:p>
        </w:tc>
      </w:tr>
      <w:tr w:rsidR="00DA7E0D" w:rsidRPr="00CE217B" w14:paraId="17B20BAA" w14:textId="77777777" w:rsidTr="00AD5FA3">
        <w:trPr>
          <w:trHeight w:val="555"/>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1DE1D" w14:textId="77777777" w:rsidR="00DA7E0D" w:rsidRPr="00CE217B" w:rsidRDefault="00DA7E0D" w:rsidP="00AD5FA3">
            <w:pPr>
              <w:rPr>
                <w:rFonts w:eastAsia="Calibri"/>
                <w:sz w:val="20"/>
                <w:szCs w:val="20"/>
              </w:rPr>
            </w:pPr>
            <w:r w:rsidRPr="00CE217B">
              <w:rPr>
                <w:rFonts w:eastAsia="Calibri"/>
                <w:sz w:val="20"/>
                <w:szCs w:val="20"/>
              </w:rPr>
              <w:t xml:space="preserve">Spolupráce s klíčovými </w:t>
            </w:r>
            <w:proofErr w:type="spellStart"/>
            <w:r w:rsidRPr="00CE217B">
              <w:rPr>
                <w:rFonts w:eastAsia="Calibri"/>
                <w:i/>
                <w:iCs/>
                <w:sz w:val="20"/>
                <w:szCs w:val="20"/>
              </w:rPr>
              <w:t>policy</w:t>
            </w:r>
            <w:proofErr w:type="spellEnd"/>
            <w:r w:rsidRPr="00CE217B">
              <w:rPr>
                <w:rFonts w:eastAsia="Calibri"/>
                <w:i/>
                <w:iCs/>
                <w:sz w:val="20"/>
                <w:szCs w:val="20"/>
              </w:rPr>
              <w:t xml:space="preserve"> partnery</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2C438" w14:textId="77777777" w:rsidR="00DA7E0D" w:rsidRPr="00CE217B" w:rsidRDefault="00DA7E0D" w:rsidP="00AD5FA3">
            <w:pPr>
              <w:rPr>
                <w:rFonts w:eastAsia="Calibri"/>
                <w:sz w:val="20"/>
                <w:szCs w:val="20"/>
              </w:rPr>
            </w:pPr>
            <w:r w:rsidRPr="00CE217B">
              <w:rPr>
                <w:rFonts w:eastAsia="Calibri"/>
                <w:sz w:val="20"/>
                <w:szCs w:val="20"/>
              </w:rPr>
              <w:t xml:space="preserve">Belgie, Irsko, Nizozemsko, Švédsko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E6F56" w14:textId="77777777" w:rsidR="00DA7E0D" w:rsidRPr="00CE217B" w:rsidRDefault="00DA7E0D" w:rsidP="00AD5FA3">
            <w:pPr>
              <w:rPr>
                <w:rFonts w:eastAsia="Calibri"/>
                <w:sz w:val="20"/>
                <w:szCs w:val="20"/>
              </w:rPr>
            </w:pPr>
            <w:r w:rsidRPr="00CE217B">
              <w:rPr>
                <w:rFonts w:eastAsia="Calibri"/>
                <w:sz w:val="20"/>
                <w:szCs w:val="20"/>
              </w:rPr>
              <w:t xml:space="preserve">Důvěra v partnery, strategické plánování, uznání klíčové role NNO v ZRS, reflexe potřeby specifických podpůrných principů </w:t>
            </w:r>
          </w:p>
        </w:tc>
      </w:tr>
      <w:tr w:rsidR="00DA7E0D" w:rsidRPr="00CE217B" w14:paraId="1B3A4013" w14:textId="77777777" w:rsidTr="00AD5FA3">
        <w:trPr>
          <w:trHeight w:val="900"/>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62EEF" w14:textId="77777777" w:rsidR="00DA7E0D" w:rsidRPr="00CE217B" w:rsidRDefault="00DA7E0D" w:rsidP="00AD5FA3">
            <w:pPr>
              <w:rPr>
                <w:rFonts w:eastAsia="Calibri"/>
                <w:sz w:val="20"/>
                <w:szCs w:val="20"/>
              </w:rPr>
            </w:pPr>
            <w:r w:rsidRPr="00CE217B">
              <w:rPr>
                <w:rFonts w:eastAsia="Calibri"/>
                <w:sz w:val="20"/>
                <w:szCs w:val="20"/>
              </w:rPr>
              <w:t xml:space="preserve">Spolupráce státu, firem a organizací občanské společnosti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346D0" w14:textId="77777777" w:rsidR="00DA7E0D" w:rsidRPr="00CE217B" w:rsidRDefault="00DA7E0D" w:rsidP="00AD5FA3">
            <w:pPr>
              <w:rPr>
                <w:rFonts w:eastAsia="Calibri"/>
                <w:sz w:val="20"/>
                <w:szCs w:val="20"/>
              </w:rPr>
            </w:pPr>
            <w:r w:rsidRPr="00CE217B">
              <w:rPr>
                <w:rFonts w:eastAsia="Calibri"/>
                <w:sz w:val="20"/>
                <w:szCs w:val="20"/>
              </w:rPr>
              <w:t xml:space="preserve">Irsko, Německo, Nizozemsko, Norsko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0780C" w14:textId="77777777" w:rsidR="00DA7E0D" w:rsidRPr="00CE217B" w:rsidRDefault="00DA7E0D" w:rsidP="00AD5FA3">
            <w:pPr>
              <w:rPr>
                <w:rFonts w:eastAsia="Calibri"/>
                <w:sz w:val="20"/>
                <w:szCs w:val="20"/>
              </w:rPr>
            </w:pPr>
            <w:r w:rsidRPr="00CE217B">
              <w:rPr>
                <w:rFonts w:eastAsia="Calibri"/>
                <w:sz w:val="20"/>
                <w:szCs w:val="20"/>
              </w:rPr>
              <w:t xml:space="preserve">Respekt k hodnotám a komparativním výhodám, využívání synergií </w:t>
            </w:r>
          </w:p>
        </w:tc>
      </w:tr>
      <w:tr w:rsidR="00DA7E0D" w:rsidRPr="00CE217B" w14:paraId="177CA390" w14:textId="77777777" w:rsidTr="00AD5FA3">
        <w:trPr>
          <w:trHeight w:val="900"/>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8D8F8" w14:textId="34F4B3F7" w:rsidR="00DA7E0D" w:rsidRPr="00CE217B" w:rsidRDefault="00DA7E0D" w:rsidP="00AD5FA3">
            <w:pPr>
              <w:rPr>
                <w:rFonts w:eastAsia="Calibri"/>
                <w:sz w:val="20"/>
                <w:szCs w:val="20"/>
              </w:rPr>
            </w:pPr>
            <w:r w:rsidRPr="00CE217B">
              <w:rPr>
                <w:rFonts w:eastAsia="Calibri"/>
                <w:sz w:val="20"/>
                <w:szCs w:val="20"/>
              </w:rPr>
              <w:t>Flexibilní a předvídatelné financování vč. víceletost</w:t>
            </w:r>
            <w:r w:rsidR="00BB4BA8">
              <w:rPr>
                <w:rFonts w:eastAsia="Calibri"/>
                <w:sz w:val="20"/>
                <w:szCs w:val="20"/>
              </w:rPr>
              <w:t>i</w:t>
            </w:r>
            <w:r w:rsidRPr="00CE217B">
              <w:rPr>
                <w:rFonts w:eastAsia="Calibri"/>
                <w:sz w:val="20"/>
                <w:szCs w:val="20"/>
              </w:rPr>
              <w:t xml:space="preserv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612E" w14:textId="77777777" w:rsidR="00DA7E0D" w:rsidRPr="00CE217B" w:rsidRDefault="00DA7E0D" w:rsidP="00AD5FA3">
            <w:pPr>
              <w:rPr>
                <w:rFonts w:eastAsia="Calibri"/>
                <w:sz w:val="20"/>
                <w:szCs w:val="20"/>
              </w:rPr>
            </w:pPr>
            <w:r w:rsidRPr="00CE217B">
              <w:rPr>
                <w:rFonts w:eastAsia="Calibri"/>
                <w:sz w:val="20"/>
                <w:szCs w:val="20"/>
              </w:rPr>
              <w:t xml:space="preserve">Belgie, Finsko, Irsko, Slovinsko, Velká Británie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51FAA" w14:textId="77777777" w:rsidR="00DA7E0D" w:rsidRPr="00CE217B" w:rsidRDefault="00DA7E0D" w:rsidP="00AD5FA3">
            <w:pPr>
              <w:rPr>
                <w:rFonts w:eastAsia="Calibri"/>
                <w:sz w:val="20"/>
                <w:szCs w:val="20"/>
              </w:rPr>
            </w:pPr>
            <w:r w:rsidRPr="00CE217B">
              <w:rPr>
                <w:rFonts w:eastAsia="Calibri"/>
                <w:sz w:val="20"/>
                <w:szCs w:val="20"/>
              </w:rPr>
              <w:t>Včasnost přidělování podpory, možnosti průběžných změn, vědomí kontinuity, potřeba rozumné míry jistoty a předvídatelnosti</w:t>
            </w:r>
          </w:p>
        </w:tc>
      </w:tr>
      <w:tr w:rsidR="00DA7E0D" w:rsidRPr="00CE217B" w14:paraId="5FF45B71" w14:textId="77777777" w:rsidTr="00AD5FA3">
        <w:trPr>
          <w:trHeight w:val="900"/>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B86E2" w14:textId="77777777" w:rsidR="00DA7E0D" w:rsidRPr="00CE217B" w:rsidRDefault="00DA7E0D" w:rsidP="00AD5FA3">
            <w:pPr>
              <w:rPr>
                <w:rFonts w:eastAsia="Calibri"/>
                <w:sz w:val="20"/>
                <w:szCs w:val="20"/>
              </w:rPr>
            </w:pPr>
            <w:r w:rsidRPr="00CE217B">
              <w:rPr>
                <w:rFonts w:eastAsia="Calibri"/>
                <w:sz w:val="20"/>
                <w:szCs w:val="20"/>
              </w:rPr>
              <w:t xml:space="preserve">Zvyšování kapacity centrálních orgánů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24F17" w14:textId="77777777" w:rsidR="00DA7E0D" w:rsidRPr="00CE217B" w:rsidRDefault="00DA7E0D" w:rsidP="00AD5FA3">
            <w:pPr>
              <w:rPr>
                <w:rFonts w:eastAsia="Calibri"/>
                <w:sz w:val="20"/>
                <w:szCs w:val="20"/>
              </w:rPr>
            </w:pPr>
            <w:r w:rsidRPr="00CE217B">
              <w:rPr>
                <w:rFonts w:eastAsia="Calibri"/>
                <w:sz w:val="20"/>
                <w:szCs w:val="20"/>
              </w:rPr>
              <w:t xml:space="preserve">Německo, Švédsko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E7AB" w14:textId="77777777" w:rsidR="00DA7E0D" w:rsidRPr="00CE217B" w:rsidRDefault="00DA7E0D" w:rsidP="00AD5FA3">
            <w:pPr>
              <w:rPr>
                <w:rFonts w:eastAsia="Calibri"/>
                <w:sz w:val="20"/>
                <w:szCs w:val="20"/>
              </w:rPr>
            </w:pPr>
            <w:r w:rsidRPr="00CE217B">
              <w:rPr>
                <w:rFonts w:eastAsia="Calibri"/>
                <w:sz w:val="20"/>
                <w:szCs w:val="20"/>
              </w:rPr>
              <w:t>Odbornost, strategické uvažování, efektivní koordinace, vytváření příznivého prostředí</w:t>
            </w:r>
          </w:p>
        </w:tc>
      </w:tr>
      <w:tr w:rsidR="00DA7E0D" w:rsidRPr="00CE217B" w14:paraId="2B6EDDAC" w14:textId="77777777" w:rsidTr="00AD5FA3">
        <w:trPr>
          <w:trHeight w:val="555"/>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4F377" w14:textId="77777777" w:rsidR="00DA7E0D" w:rsidRPr="00CE217B" w:rsidRDefault="00DA7E0D" w:rsidP="00AD5FA3">
            <w:pPr>
              <w:rPr>
                <w:rFonts w:eastAsia="Calibri"/>
                <w:sz w:val="20"/>
                <w:szCs w:val="20"/>
              </w:rPr>
            </w:pPr>
            <w:r w:rsidRPr="00CE217B">
              <w:rPr>
                <w:rFonts w:eastAsia="Calibri"/>
                <w:sz w:val="20"/>
                <w:szCs w:val="20"/>
              </w:rPr>
              <w:t xml:space="preserve">Reportování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CE7E9" w14:textId="77777777" w:rsidR="00DA7E0D" w:rsidRPr="00CE217B" w:rsidRDefault="00DA7E0D" w:rsidP="00AD5FA3">
            <w:pPr>
              <w:rPr>
                <w:rFonts w:eastAsia="Calibri"/>
                <w:sz w:val="20"/>
                <w:szCs w:val="20"/>
              </w:rPr>
            </w:pPr>
            <w:r w:rsidRPr="00CE217B">
              <w:rPr>
                <w:rFonts w:eastAsia="Calibri"/>
                <w:sz w:val="20"/>
                <w:szCs w:val="20"/>
              </w:rPr>
              <w:t xml:space="preserve">Belgie, Irsko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9AA7" w14:textId="77777777" w:rsidR="00DA7E0D" w:rsidRPr="00CE217B" w:rsidRDefault="00DA7E0D" w:rsidP="00AD5FA3">
            <w:pPr>
              <w:rPr>
                <w:rFonts w:eastAsia="Calibri"/>
                <w:sz w:val="20"/>
                <w:szCs w:val="20"/>
              </w:rPr>
            </w:pPr>
            <w:r w:rsidRPr="00CE217B">
              <w:rPr>
                <w:rFonts w:eastAsia="Calibri"/>
                <w:sz w:val="20"/>
                <w:szCs w:val="20"/>
              </w:rPr>
              <w:t xml:space="preserve">Snaha o odbourání administrativy </w:t>
            </w:r>
          </w:p>
        </w:tc>
      </w:tr>
      <w:tr w:rsidR="00DA7E0D" w:rsidRPr="00CE217B" w14:paraId="495DD2D0" w14:textId="77777777" w:rsidTr="00AD5FA3">
        <w:trPr>
          <w:trHeight w:val="555"/>
        </w:trPr>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AE3A1" w14:textId="77777777" w:rsidR="00DA7E0D" w:rsidRPr="00CE217B" w:rsidRDefault="00DA7E0D" w:rsidP="00AD5FA3">
            <w:pPr>
              <w:rPr>
                <w:rFonts w:eastAsia="Calibri"/>
                <w:sz w:val="20"/>
                <w:szCs w:val="20"/>
              </w:rPr>
            </w:pPr>
            <w:r w:rsidRPr="00CE217B">
              <w:rPr>
                <w:rFonts w:eastAsia="Calibri"/>
                <w:sz w:val="20"/>
                <w:szCs w:val="20"/>
              </w:rPr>
              <w:t xml:space="preserve">Spolupráce mezi neziskovými organizacemi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B70A8" w14:textId="77777777" w:rsidR="00DA7E0D" w:rsidRPr="00CE217B" w:rsidRDefault="00DA7E0D" w:rsidP="00AD5FA3">
            <w:pPr>
              <w:rPr>
                <w:rFonts w:eastAsia="Calibri"/>
                <w:sz w:val="20"/>
                <w:szCs w:val="20"/>
              </w:rPr>
            </w:pPr>
            <w:r w:rsidRPr="00CE217B">
              <w:rPr>
                <w:rFonts w:eastAsia="Calibri"/>
                <w:sz w:val="20"/>
                <w:szCs w:val="20"/>
              </w:rPr>
              <w:t xml:space="preserve">Nizozemsko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965A" w14:textId="77777777" w:rsidR="00DA7E0D" w:rsidRPr="00CE217B" w:rsidRDefault="00DA7E0D" w:rsidP="00AD5FA3">
            <w:pPr>
              <w:rPr>
                <w:rFonts w:eastAsia="Calibri"/>
                <w:sz w:val="20"/>
                <w:szCs w:val="20"/>
              </w:rPr>
            </w:pPr>
            <w:r w:rsidRPr="00CE217B">
              <w:rPr>
                <w:rFonts w:eastAsia="Calibri"/>
                <w:sz w:val="20"/>
                <w:szCs w:val="20"/>
              </w:rPr>
              <w:t>Principy partnerství, sdílení zkušeností a dobré praxe</w:t>
            </w:r>
          </w:p>
        </w:tc>
      </w:tr>
    </w:tbl>
    <w:p w14:paraId="2F6D406B" w14:textId="77777777" w:rsidR="00DA7E0D" w:rsidRPr="00CE217B" w:rsidRDefault="00DA7E0D" w:rsidP="00DA7E0D">
      <w:pPr>
        <w:spacing w:after="240"/>
        <w:rPr>
          <w:sz w:val="18"/>
          <w:szCs w:val="18"/>
        </w:rPr>
      </w:pPr>
      <w:r w:rsidRPr="00CE217B">
        <w:rPr>
          <w:sz w:val="18"/>
          <w:szCs w:val="18"/>
        </w:rPr>
        <w:t>Zdroj: OECD Development Co-</w:t>
      </w:r>
      <w:proofErr w:type="spellStart"/>
      <w:r w:rsidRPr="00CE217B">
        <w:rPr>
          <w:sz w:val="18"/>
          <w:szCs w:val="18"/>
        </w:rPr>
        <w:t>operation</w:t>
      </w:r>
      <w:proofErr w:type="spellEnd"/>
      <w:r w:rsidRPr="00CE217B">
        <w:rPr>
          <w:sz w:val="18"/>
          <w:szCs w:val="18"/>
        </w:rPr>
        <w:t xml:space="preserve"> Peer </w:t>
      </w:r>
      <w:proofErr w:type="spellStart"/>
      <w:r w:rsidRPr="00CE217B">
        <w:rPr>
          <w:sz w:val="18"/>
          <w:szCs w:val="18"/>
        </w:rPr>
        <w:t>Reviews</w:t>
      </w:r>
      <w:proofErr w:type="spellEnd"/>
      <w:r w:rsidRPr="00CE217B">
        <w:rPr>
          <w:sz w:val="18"/>
          <w:szCs w:val="18"/>
        </w:rPr>
        <w:t xml:space="preserve"> (online). OECD </w:t>
      </w:r>
      <w:proofErr w:type="spellStart"/>
      <w:r w:rsidRPr="00CE217B">
        <w:rPr>
          <w:sz w:val="18"/>
          <w:szCs w:val="18"/>
        </w:rPr>
        <w:t>iLibrary</w:t>
      </w:r>
      <w:proofErr w:type="spellEnd"/>
      <w:r w:rsidRPr="00CE217B">
        <w:rPr>
          <w:sz w:val="18"/>
          <w:szCs w:val="18"/>
        </w:rPr>
        <w:t>.  OECD Development Co-</w:t>
      </w:r>
      <w:proofErr w:type="spellStart"/>
      <w:r w:rsidRPr="00CE217B">
        <w:rPr>
          <w:sz w:val="18"/>
          <w:szCs w:val="18"/>
        </w:rPr>
        <w:t>operation</w:t>
      </w:r>
      <w:proofErr w:type="spellEnd"/>
      <w:r w:rsidRPr="00CE217B">
        <w:rPr>
          <w:sz w:val="18"/>
          <w:szCs w:val="18"/>
        </w:rPr>
        <w:t xml:space="preserve"> Peer </w:t>
      </w:r>
      <w:proofErr w:type="spellStart"/>
      <w:r w:rsidRPr="00CE217B">
        <w:rPr>
          <w:sz w:val="18"/>
          <w:szCs w:val="18"/>
        </w:rPr>
        <w:t>Reviews</w:t>
      </w:r>
      <w:proofErr w:type="spellEnd"/>
      <w:r w:rsidRPr="00CE217B">
        <w:rPr>
          <w:sz w:val="18"/>
          <w:szCs w:val="18"/>
        </w:rPr>
        <w:t xml:space="preserve">. Dostupné na </w:t>
      </w:r>
      <w:hyperlink r:id="rId60">
        <w:r w:rsidRPr="00CE217B">
          <w:rPr>
            <w:rStyle w:val="Hypertextovodkaz"/>
            <w:rFonts w:eastAsia="Calibri"/>
            <w:sz w:val="18"/>
            <w:szCs w:val="18"/>
          </w:rPr>
          <w:t xml:space="preserve">OECD </w:t>
        </w:r>
        <w:proofErr w:type="spellStart"/>
        <w:r w:rsidRPr="00CE217B">
          <w:rPr>
            <w:rStyle w:val="Hypertextovodkaz"/>
            <w:rFonts w:eastAsia="Calibri"/>
            <w:sz w:val="18"/>
            <w:szCs w:val="18"/>
          </w:rPr>
          <w:t>iLibrary</w:t>
        </w:r>
        <w:proofErr w:type="spellEnd"/>
        <w:r w:rsidRPr="00CE217B">
          <w:rPr>
            <w:rStyle w:val="Hypertextovodkaz"/>
            <w:rFonts w:eastAsia="Calibri"/>
            <w:sz w:val="18"/>
            <w:szCs w:val="18"/>
          </w:rPr>
          <w:t xml:space="preserve"> | OECD Development Co-</w:t>
        </w:r>
        <w:proofErr w:type="spellStart"/>
        <w:r w:rsidRPr="00CE217B">
          <w:rPr>
            <w:rStyle w:val="Hypertextovodkaz"/>
            <w:rFonts w:eastAsia="Calibri"/>
            <w:sz w:val="18"/>
            <w:szCs w:val="18"/>
          </w:rPr>
          <w:t>operation</w:t>
        </w:r>
        <w:proofErr w:type="spellEnd"/>
        <w:r w:rsidRPr="00CE217B">
          <w:rPr>
            <w:rStyle w:val="Hypertextovodkaz"/>
            <w:rFonts w:eastAsia="Calibri"/>
            <w:sz w:val="18"/>
            <w:szCs w:val="18"/>
          </w:rPr>
          <w:t xml:space="preserve"> Peer </w:t>
        </w:r>
        <w:proofErr w:type="spellStart"/>
        <w:r w:rsidRPr="00CE217B">
          <w:rPr>
            <w:rStyle w:val="Hypertextovodkaz"/>
            <w:rFonts w:eastAsia="Calibri"/>
            <w:sz w:val="18"/>
            <w:szCs w:val="18"/>
          </w:rPr>
          <w:t>Reviews</w:t>
        </w:r>
        <w:proofErr w:type="spellEnd"/>
        <w:r w:rsidRPr="00CE217B">
          <w:rPr>
            <w:rStyle w:val="Hypertextovodkaz"/>
            <w:rFonts w:eastAsia="Calibri"/>
            <w:sz w:val="18"/>
            <w:szCs w:val="18"/>
          </w:rPr>
          <w:t xml:space="preserve"> (oecd-ilibrary.org)</w:t>
        </w:r>
      </w:hyperlink>
      <w:r w:rsidRPr="00CE217B">
        <w:rPr>
          <w:rStyle w:val="Hypertextovodkaz"/>
          <w:rFonts w:eastAsia="Calibri"/>
          <w:sz w:val="18"/>
          <w:szCs w:val="18"/>
        </w:rPr>
        <w:t>.</w:t>
      </w:r>
    </w:p>
    <w:p w14:paraId="0D4D0DF5" w14:textId="77777777" w:rsidR="00DA7E0D" w:rsidRPr="00CE217B" w:rsidRDefault="00DA7E0D" w:rsidP="00DA7E0D"/>
    <w:p w14:paraId="601D359C" w14:textId="77777777" w:rsidR="00DA7E0D" w:rsidRPr="004D66A3" w:rsidRDefault="00DA7E0D" w:rsidP="00DA7E0D">
      <w:pPr>
        <w:rPr>
          <w:b/>
          <w:bCs/>
          <w:color w:val="2F5496" w:themeColor="accent1" w:themeShade="BF"/>
        </w:rPr>
      </w:pPr>
      <w:r w:rsidRPr="004D66A3">
        <w:rPr>
          <w:b/>
          <w:bCs/>
          <w:color w:val="2F5496" w:themeColor="accent1" w:themeShade="BF"/>
        </w:rPr>
        <w:lastRenderedPageBreak/>
        <w:t>Možnosti implementace zahraničních zkušeností v ČR</w:t>
      </w:r>
    </w:p>
    <w:p w14:paraId="5B9E980F" w14:textId="77777777" w:rsidR="00DA7E0D" w:rsidRPr="00CE217B" w:rsidRDefault="00DA7E0D" w:rsidP="00DA7E0D">
      <w:r w:rsidRPr="00CE217B">
        <w:t>S vědomím toho, že při realizaci systémových změn existuje silná závislost na politické vůli, uvádíme zde pouze ty příklady dobré praxe, které by bylo v určité formě možné implementovat relativně nejsnadněji:</w:t>
      </w:r>
    </w:p>
    <w:p w14:paraId="6E3C50FC" w14:textId="77777777" w:rsidR="00DA7E0D" w:rsidRPr="00CE217B" w:rsidRDefault="00DA7E0D" w:rsidP="00B84ED1">
      <w:pPr>
        <w:pStyle w:val="Odstavecseseznamem"/>
        <w:numPr>
          <w:ilvl w:val="0"/>
          <w:numId w:val="11"/>
        </w:numPr>
        <w:spacing w:before="0" w:after="160" w:line="259" w:lineRule="auto"/>
        <w:contextualSpacing/>
        <w:rPr>
          <w:rFonts w:eastAsiaTheme="minorEastAsia"/>
        </w:rPr>
      </w:pPr>
      <w:r w:rsidRPr="00CE217B">
        <w:t xml:space="preserve">Partnerství MZV/ČRA a poskytovatelů služeb v ZRS. Nabízí se forma pravidelných i ad hoc konzultací a workshopů se zástupci NNO v ZRS, ať už se zástupci </w:t>
      </w:r>
      <w:proofErr w:type="spellStart"/>
      <w:r w:rsidRPr="00CE217B">
        <w:t>FoRS</w:t>
      </w:r>
      <w:proofErr w:type="spellEnd"/>
      <w:r w:rsidRPr="00CE217B">
        <w:t xml:space="preserve">, Humanitární aliance, ale také například zástupců specifické oblasti GRV. </w:t>
      </w:r>
    </w:p>
    <w:p w14:paraId="1AFBD613" w14:textId="2B0CC25E" w:rsidR="00DA7E0D" w:rsidRPr="00CE217B" w:rsidRDefault="00DA7E0D" w:rsidP="00B84ED1">
      <w:pPr>
        <w:pStyle w:val="Odstavecseseznamem"/>
        <w:numPr>
          <w:ilvl w:val="0"/>
          <w:numId w:val="11"/>
        </w:numPr>
        <w:spacing w:before="0" w:after="160" w:line="259" w:lineRule="auto"/>
        <w:contextualSpacing/>
        <w:rPr>
          <w:rFonts w:eastAsiaTheme="minorEastAsia"/>
        </w:rPr>
      </w:pPr>
      <w:r w:rsidRPr="00CE217B">
        <w:t>Rozšířené partnerství se stakeholdery, zejména z řad podnikatelského sektoru. Zde musí MZV/ČRA sehrát klíčovou moderátorskou úlohu. Výzva v rámci Programu by měla reflektovat podněty neziskových partnerů, skutečně se zajímat o jejich potřeby a pokroky. Určitým prvním krokem by mohla být nějaké forma memoranda deklarujícího snahu nalézt společné vize a styčné kroky. Inspirovat se lze v řadě zemí uvedených i v této studii.</w:t>
      </w:r>
    </w:p>
    <w:p w14:paraId="4A505A90" w14:textId="77777777" w:rsidR="00DA7E0D" w:rsidRPr="00CE217B" w:rsidRDefault="00DA7E0D" w:rsidP="00B84ED1">
      <w:pPr>
        <w:pStyle w:val="Odstavecseseznamem"/>
        <w:numPr>
          <w:ilvl w:val="0"/>
          <w:numId w:val="11"/>
        </w:numPr>
        <w:spacing w:before="0" w:after="160" w:line="259" w:lineRule="auto"/>
        <w:contextualSpacing/>
        <w:rPr>
          <w:rFonts w:eastAsiaTheme="minorEastAsia"/>
        </w:rPr>
      </w:pPr>
      <w:r w:rsidRPr="00CE217B">
        <w:t xml:space="preserve">Spolupráce s </w:t>
      </w:r>
      <w:r w:rsidRPr="008314DA">
        <w:t xml:space="preserve">klíčovými </w:t>
      </w:r>
      <w:proofErr w:type="spellStart"/>
      <w:r w:rsidRPr="00E60AA8">
        <w:rPr>
          <w:i/>
          <w:iCs/>
        </w:rPr>
        <w:t>policy</w:t>
      </w:r>
      <w:proofErr w:type="spellEnd"/>
      <w:r w:rsidRPr="00E60AA8">
        <w:rPr>
          <w:i/>
          <w:iCs/>
        </w:rPr>
        <w:t xml:space="preserve"> partnery.</w:t>
      </w:r>
      <w:r w:rsidRPr="008314DA">
        <w:t xml:space="preserve"> Měla by být identifikována kritéria, po jejichž splnění se organizace stane </w:t>
      </w:r>
      <w:proofErr w:type="spellStart"/>
      <w:r w:rsidRPr="00E60AA8">
        <w:rPr>
          <w:i/>
          <w:iCs/>
        </w:rPr>
        <w:t>policy</w:t>
      </w:r>
      <w:proofErr w:type="spellEnd"/>
      <w:r w:rsidRPr="00E60AA8">
        <w:rPr>
          <w:i/>
          <w:iCs/>
        </w:rPr>
        <w:t xml:space="preserve"> partnerem</w:t>
      </w:r>
      <w:r w:rsidRPr="00B6099B">
        <w:t xml:space="preserve"> se specifickými nároky, včetně například </w:t>
      </w:r>
      <w:proofErr w:type="spellStart"/>
      <w:r w:rsidRPr="00E60AA8">
        <w:rPr>
          <w:i/>
          <w:iCs/>
        </w:rPr>
        <w:t>core</w:t>
      </w:r>
      <w:proofErr w:type="spellEnd"/>
      <w:r w:rsidRPr="00E60AA8">
        <w:rPr>
          <w:i/>
          <w:iCs/>
        </w:rPr>
        <w:t xml:space="preserve"> </w:t>
      </w:r>
      <w:proofErr w:type="spellStart"/>
      <w:r w:rsidRPr="00E60AA8">
        <w:rPr>
          <w:i/>
          <w:iCs/>
        </w:rPr>
        <w:t>funding</w:t>
      </w:r>
      <w:proofErr w:type="spellEnd"/>
      <w:r w:rsidRPr="008314DA">
        <w:t xml:space="preserve"> v takové formě, která by vyhověla jak potřebám budování kapacit, tak současným rozpočtovým pravidlům. Inspirovat se lze například v případě Nizozemska, Irska či Švédska, které si takový okruh spolehlivých, osvědčených a inovativních partnerů budují a také jim vytvářejí podmínky umožňující naplňovat náročnou úlohu </w:t>
      </w:r>
      <w:proofErr w:type="spellStart"/>
      <w:r w:rsidRPr="00576785">
        <w:rPr>
          <w:i/>
          <w:iCs/>
        </w:rPr>
        <w:t>policy</w:t>
      </w:r>
      <w:proofErr w:type="spellEnd"/>
      <w:r w:rsidRPr="00576785">
        <w:rPr>
          <w:i/>
          <w:iCs/>
        </w:rPr>
        <w:t xml:space="preserve"> partnerů</w:t>
      </w:r>
      <w:r w:rsidRPr="008314DA">
        <w:t xml:space="preserve">. Fokus na </w:t>
      </w:r>
      <w:proofErr w:type="spellStart"/>
      <w:r w:rsidRPr="00576785">
        <w:rPr>
          <w:i/>
          <w:iCs/>
        </w:rPr>
        <w:t>policy</w:t>
      </w:r>
      <w:proofErr w:type="spellEnd"/>
      <w:r w:rsidRPr="00576785">
        <w:rPr>
          <w:i/>
          <w:iCs/>
        </w:rPr>
        <w:t xml:space="preserve"> partnery</w:t>
      </w:r>
      <w:r w:rsidRPr="008314DA">
        <w:t xml:space="preserve"> ovšem nesmí znamenat omezení podpory často inovativních a progresivních menších neziskových organizací</w:t>
      </w:r>
      <w:r w:rsidRPr="00CE217B">
        <w:t>.</w:t>
      </w:r>
    </w:p>
    <w:p w14:paraId="07AF20FB" w14:textId="77777777" w:rsidR="00DA7E0D" w:rsidRPr="00CE217B" w:rsidRDefault="00DA7E0D" w:rsidP="00B84ED1">
      <w:pPr>
        <w:pStyle w:val="Odstavecseseznamem"/>
        <w:numPr>
          <w:ilvl w:val="0"/>
          <w:numId w:val="11"/>
        </w:numPr>
        <w:spacing w:before="0" w:after="160" w:line="259" w:lineRule="auto"/>
        <w:contextualSpacing/>
      </w:pPr>
      <w:r w:rsidRPr="00CE217B">
        <w:t xml:space="preserve">Flexibilní financování. Nebude-li možné překročit jednoleté období poskytování dotačních prostředků, bylo by vhodné zaměřit se například po vzoru Belgie či Nizozemska na vstřícné termíny vyhlašování výzev, včasné a nezpožděné proplácení dotace, stejně jako na modifikaci reportovací povinnosti založené na věrohodné dokumentaci reálně dosažených změn. Irská praxe poskytovat dotace organizacím na základě jasných kritérií, předvídatelným a flexibilním způsobem, s možností úprav v průběhu roku, je patrně do značné míry přenositelná také. </w:t>
      </w:r>
    </w:p>
    <w:p w14:paraId="6490E86A" w14:textId="77777777" w:rsidR="00DA7E0D" w:rsidRPr="00CE217B" w:rsidRDefault="00DA7E0D" w:rsidP="00B84ED1">
      <w:pPr>
        <w:pStyle w:val="Odstavecseseznamem"/>
        <w:numPr>
          <w:ilvl w:val="0"/>
          <w:numId w:val="11"/>
        </w:numPr>
        <w:spacing w:before="0" w:after="160" w:line="259" w:lineRule="auto"/>
        <w:contextualSpacing/>
      </w:pPr>
      <w:r w:rsidRPr="00CE217B">
        <w:t>Zvyšování kapacit centrálních orgánů. Zde by mělo být samozřejmé, že donor (garant, gestor) si osvojí určité odborné znalosti tak, aby mohl být partnerem NNO, které při své činnosti naplňují veřejnou politiku ČR za hranicemi.</w:t>
      </w:r>
    </w:p>
    <w:p w14:paraId="2631234B" w14:textId="77777777" w:rsidR="00DA7E0D" w:rsidRPr="00CE217B" w:rsidRDefault="00DA7E0D" w:rsidP="00DA7E0D">
      <w:pPr>
        <w:pStyle w:val="Odstavecseseznamem"/>
      </w:pPr>
    </w:p>
    <w:p w14:paraId="65868098" w14:textId="081D1081" w:rsidR="00DA7E0D" w:rsidRPr="004D66A3" w:rsidRDefault="00DA7E0D" w:rsidP="00310D76">
      <w:pPr>
        <w:pStyle w:val="Nadpis1"/>
        <w:numPr>
          <w:ilvl w:val="0"/>
          <w:numId w:val="0"/>
        </w:numPr>
        <w:ind w:left="432" w:hanging="432"/>
      </w:pPr>
      <w:r w:rsidRPr="00CE217B">
        <w:br w:type="page"/>
      </w:r>
      <w:bookmarkStart w:id="68" w:name="_Toc75263417"/>
      <w:r w:rsidR="004D66A3" w:rsidRPr="004D66A3">
        <w:lastRenderedPageBreak/>
        <w:t>SEZNAM</w:t>
      </w:r>
      <w:r w:rsidR="004D66A3">
        <w:t xml:space="preserve"> A VYSVĚTLENÍ</w:t>
      </w:r>
      <w:r w:rsidR="004D66A3" w:rsidRPr="004D66A3">
        <w:t xml:space="preserve"> </w:t>
      </w:r>
      <w:r w:rsidR="008949D9">
        <w:t xml:space="preserve">POUŽITÝCH </w:t>
      </w:r>
      <w:r w:rsidR="004D66A3" w:rsidRPr="004D66A3">
        <w:t>ZKRATEK</w:t>
      </w:r>
      <w:bookmarkEnd w:id="68"/>
    </w:p>
    <w:p w14:paraId="74003D14" w14:textId="77777777" w:rsidR="00DA7E0D" w:rsidRPr="00426E05" w:rsidRDefault="00DA7E0D" w:rsidP="00DA7E0D">
      <w:pPr>
        <w:spacing w:before="40" w:after="40"/>
        <w:rPr>
          <w:sz w:val="20"/>
          <w:szCs w:val="22"/>
        </w:rPr>
      </w:pPr>
      <w:r w:rsidRPr="00426E05">
        <w:rPr>
          <w:sz w:val="20"/>
          <w:szCs w:val="22"/>
        </w:rPr>
        <w:t xml:space="preserve">ACF – </w:t>
      </w:r>
      <w:proofErr w:type="spellStart"/>
      <w:r w:rsidRPr="00426E05">
        <w:rPr>
          <w:sz w:val="20"/>
          <w:szCs w:val="22"/>
        </w:rPr>
        <w:t>Active</w:t>
      </w:r>
      <w:proofErr w:type="spellEnd"/>
      <w:r w:rsidRPr="00426E05">
        <w:rPr>
          <w:sz w:val="20"/>
          <w:szCs w:val="22"/>
        </w:rPr>
        <w:t xml:space="preserve"> </w:t>
      </w:r>
      <w:proofErr w:type="spellStart"/>
      <w:r w:rsidRPr="00426E05">
        <w:rPr>
          <w:sz w:val="20"/>
          <w:szCs w:val="22"/>
        </w:rPr>
        <w:t>Citizens</w:t>
      </w:r>
      <w:proofErr w:type="spellEnd"/>
      <w:r w:rsidRPr="00426E05">
        <w:rPr>
          <w:sz w:val="20"/>
          <w:szCs w:val="22"/>
        </w:rPr>
        <w:t xml:space="preserve"> </w:t>
      </w:r>
      <w:proofErr w:type="spellStart"/>
      <w:r w:rsidRPr="00426E05">
        <w:rPr>
          <w:sz w:val="20"/>
          <w:szCs w:val="22"/>
        </w:rPr>
        <w:t>Fund</w:t>
      </w:r>
      <w:proofErr w:type="spellEnd"/>
    </w:p>
    <w:p w14:paraId="48341DC1" w14:textId="77777777" w:rsidR="00DA7E0D" w:rsidRPr="00426E05" w:rsidRDefault="00DA7E0D" w:rsidP="00DA7E0D">
      <w:pPr>
        <w:spacing w:before="40" w:after="40"/>
        <w:rPr>
          <w:sz w:val="20"/>
          <w:szCs w:val="22"/>
        </w:rPr>
      </w:pPr>
      <w:r w:rsidRPr="00426E05">
        <w:rPr>
          <w:sz w:val="20"/>
          <w:szCs w:val="22"/>
        </w:rPr>
        <w:t xml:space="preserve">BMZ – </w:t>
      </w:r>
      <w:proofErr w:type="spellStart"/>
      <w:r w:rsidRPr="00426E05">
        <w:rPr>
          <w:sz w:val="20"/>
          <w:szCs w:val="22"/>
        </w:rPr>
        <w:t>Bundesministerium</w:t>
      </w:r>
      <w:proofErr w:type="spellEnd"/>
      <w:r w:rsidRPr="00426E05">
        <w:rPr>
          <w:sz w:val="20"/>
          <w:szCs w:val="22"/>
        </w:rPr>
        <w:t xml:space="preserve"> </w:t>
      </w:r>
      <w:proofErr w:type="spellStart"/>
      <w:r w:rsidRPr="00426E05">
        <w:rPr>
          <w:sz w:val="20"/>
          <w:szCs w:val="22"/>
        </w:rPr>
        <w:t>für</w:t>
      </w:r>
      <w:proofErr w:type="spellEnd"/>
      <w:r w:rsidRPr="00426E05">
        <w:rPr>
          <w:sz w:val="20"/>
          <w:szCs w:val="22"/>
        </w:rPr>
        <w:t xml:space="preserve"> </w:t>
      </w:r>
      <w:proofErr w:type="spellStart"/>
      <w:r w:rsidRPr="00426E05">
        <w:rPr>
          <w:sz w:val="20"/>
          <w:szCs w:val="22"/>
        </w:rPr>
        <w:t>wirtschaftliche</w:t>
      </w:r>
      <w:proofErr w:type="spellEnd"/>
      <w:r w:rsidRPr="00426E05">
        <w:rPr>
          <w:sz w:val="20"/>
          <w:szCs w:val="22"/>
        </w:rPr>
        <w:t xml:space="preserve"> </w:t>
      </w:r>
      <w:proofErr w:type="spellStart"/>
      <w:r w:rsidRPr="00426E05">
        <w:rPr>
          <w:sz w:val="20"/>
          <w:szCs w:val="22"/>
        </w:rPr>
        <w:t>Zusammenarbeit</w:t>
      </w:r>
      <w:proofErr w:type="spellEnd"/>
      <w:r w:rsidRPr="00426E05">
        <w:rPr>
          <w:sz w:val="20"/>
          <w:szCs w:val="22"/>
        </w:rPr>
        <w:t xml:space="preserve"> </w:t>
      </w:r>
      <w:proofErr w:type="spellStart"/>
      <w:r w:rsidRPr="00426E05">
        <w:rPr>
          <w:sz w:val="20"/>
          <w:szCs w:val="22"/>
        </w:rPr>
        <w:t>und</w:t>
      </w:r>
      <w:proofErr w:type="spellEnd"/>
      <w:r w:rsidRPr="00426E05">
        <w:rPr>
          <w:sz w:val="20"/>
          <w:szCs w:val="22"/>
        </w:rPr>
        <w:t xml:space="preserve"> </w:t>
      </w:r>
      <w:proofErr w:type="spellStart"/>
      <w:r w:rsidRPr="00426E05">
        <w:rPr>
          <w:sz w:val="20"/>
          <w:szCs w:val="22"/>
        </w:rPr>
        <w:t>Entwicklung</w:t>
      </w:r>
      <w:proofErr w:type="spellEnd"/>
      <w:r w:rsidRPr="00426E05">
        <w:rPr>
          <w:sz w:val="20"/>
          <w:szCs w:val="22"/>
        </w:rPr>
        <w:t xml:space="preserve"> – Federální ministerstvo pro hospodářskou spolupráci a rozvoj</w:t>
      </w:r>
    </w:p>
    <w:p w14:paraId="126647C3" w14:textId="77777777" w:rsidR="00DA7E0D" w:rsidRPr="00426E05" w:rsidRDefault="00DA7E0D" w:rsidP="00DA7E0D">
      <w:pPr>
        <w:spacing w:before="40" w:after="40"/>
        <w:rPr>
          <w:sz w:val="20"/>
          <w:szCs w:val="22"/>
        </w:rPr>
      </w:pPr>
      <w:r w:rsidRPr="00426E05">
        <w:rPr>
          <w:sz w:val="20"/>
          <w:szCs w:val="22"/>
        </w:rPr>
        <w:t xml:space="preserve">BPS – Business </w:t>
      </w:r>
      <w:proofErr w:type="spellStart"/>
      <w:r w:rsidRPr="00426E05">
        <w:rPr>
          <w:sz w:val="20"/>
          <w:szCs w:val="22"/>
        </w:rPr>
        <w:t>Partnership</w:t>
      </w:r>
      <w:proofErr w:type="spellEnd"/>
      <w:r w:rsidRPr="00426E05">
        <w:rPr>
          <w:sz w:val="20"/>
          <w:szCs w:val="22"/>
        </w:rPr>
        <w:t xml:space="preserve"> Support</w:t>
      </w:r>
    </w:p>
    <w:p w14:paraId="78DBC4B9" w14:textId="77777777" w:rsidR="00DA7E0D" w:rsidRPr="00426E05" w:rsidRDefault="00DA7E0D" w:rsidP="00DA7E0D">
      <w:pPr>
        <w:spacing w:before="40" w:after="40"/>
        <w:rPr>
          <w:sz w:val="20"/>
          <w:szCs w:val="22"/>
        </w:rPr>
      </w:pPr>
      <w:r w:rsidRPr="00426E05">
        <w:rPr>
          <w:sz w:val="20"/>
          <w:szCs w:val="22"/>
        </w:rPr>
        <w:t xml:space="preserve">CDP – </w:t>
      </w:r>
      <w:proofErr w:type="spellStart"/>
      <w:r w:rsidRPr="00426E05">
        <w:rPr>
          <w:sz w:val="20"/>
          <w:szCs w:val="22"/>
        </w:rPr>
        <w:t>Capacity</w:t>
      </w:r>
      <w:proofErr w:type="spellEnd"/>
      <w:r w:rsidRPr="00426E05">
        <w:rPr>
          <w:sz w:val="20"/>
          <w:szCs w:val="22"/>
        </w:rPr>
        <w:t xml:space="preserve"> Development </w:t>
      </w:r>
      <w:proofErr w:type="spellStart"/>
      <w:r w:rsidRPr="00426E05">
        <w:rPr>
          <w:sz w:val="20"/>
          <w:szCs w:val="22"/>
        </w:rPr>
        <w:t>for</w:t>
      </w:r>
      <w:proofErr w:type="spellEnd"/>
      <w:r w:rsidRPr="00426E05">
        <w:rPr>
          <w:sz w:val="20"/>
          <w:szCs w:val="22"/>
        </w:rPr>
        <w:t xml:space="preserve"> </w:t>
      </w:r>
      <w:proofErr w:type="spellStart"/>
      <w:r w:rsidRPr="00426E05">
        <w:rPr>
          <w:sz w:val="20"/>
          <w:szCs w:val="22"/>
        </w:rPr>
        <w:t>Partnership</w:t>
      </w:r>
      <w:proofErr w:type="spellEnd"/>
      <w:r w:rsidRPr="00426E05">
        <w:rPr>
          <w:sz w:val="20"/>
          <w:szCs w:val="22"/>
        </w:rPr>
        <w:t xml:space="preserve"> </w:t>
      </w:r>
      <w:proofErr w:type="spellStart"/>
      <w:r w:rsidRPr="00426E05">
        <w:rPr>
          <w:sz w:val="20"/>
          <w:szCs w:val="22"/>
        </w:rPr>
        <w:t>with</w:t>
      </w:r>
      <w:proofErr w:type="spellEnd"/>
      <w:r w:rsidRPr="00426E05">
        <w:rPr>
          <w:sz w:val="20"/>
          <w:szCs w:val="22"/>
        </w:rPr>
        <w:t xml:space="preserve"> </w:t>
      </w:r>
      <w:proofErr w:type="spellStart"/>
      <w:r w:rsidRPr="00426E05">
        <w:rPr>
          <w:sz w:val="20"/>
          <w:szCs w:val="22"/>
        </w:rPr>
        <w:t>the</w:t>
      </w:r>
      <w:proofErr w:type="spellEnd"/>
      <w:r w:rsidRPr="00426E05">
        <w:rPr>
          <w:sz w:val="20"/>
          <w:szCs w:val="22"/>
        </w:rPr>
        <w:t xml:space="preserve"> </w:t>
      </w:r>
      <w:proofErr w:type="spellStart"/>
      <w:r w:rsidRPr="00426E05">
        <w:rPr>
          <w:sz w:val="20"/>
          <w:szCs w:val="22"/>
        </w:rPr>
        <w:t>Private</w:t>
      </w:r>
      <w:proofErr w:type="spellEnd"/>
      <w:r w:rsidRPr="00426E05">
        <w:rPr>
          <w:sz w:val="20"/>
          <w:szCs w:val="22"/>
        </w:rPr>
        <w:t xml:space="preserve"> </w:t>
      </w:r>
      <w:proofErr w:type="spellStart"/>
      <w:r w:rsidRPr="00426E05">
        <w:rPr>
          <w:sz w:val="20"/>
          <w:szCs w:val="22"/>
        </w:rPr>
        <w:t>Sector</w:t>
      </w:r>
      <w:proofErr w:type="spellEnd"/>
    </w:p>
    <w:p w14:paraId="2216F8F3" w14:textId="77777777" w:rsidR="00DA7E0D" w:rsidRPr="00426E05" w:rsidRDefault="00DA7E0D" w:rsidP="00DA7E0D">
      <w:pPr>
        <w:spacing w:before="40" w:after="40"/>
        <w:rPr>
          <w:sz w:val="20"/>
          <w:szCs w:val="22"/>
        </w:rPr>
      </w:pPr>
      <w:r w:rsidRPr="00426E05">
        <w:rPr>
          <w:sz w:val="20"/>
          <w:szCs w:val="22"/>
        </w:rPr>
        <w:t xml:space="preserve">CIDA – </w:t>
      </w:r>
      <w:proofErr w:type="spellStart"/>
      <w:r w:rsidRPr="00426E05">
        <w:rPr>
          <w:sz w:val="20"/>
          <w:szCs w:val="22"/>
        </w:rPr>
        <w:t>Canadian</w:t>
      </w:r>
      <w:proofErr w:type="spellEnd"/>
      <w:r w:rsidRPr="00426E05">
        <w:rPr>
          <w:sz w:val="20"/>
          <w:szCs w:val="22"/>
        </w:rPr>
        <w:t xml:space="preserve"> International Development </w:t>
      </w:r>
      <w:proofErr w:type="spellStart"/>
      <w:r w:rsidRPr="00426E05">
        <w:rPr>
          <w:sz w:val="20"/>
          <w:szCs w:val="22"/>
        </w:rPr>
        <w:t>Agency</w:t>
      </w:r>
      <w:proofErr w:type="spellEnd"/>
    </w:p>
    <w:p w14:paraId="665952F9" w14:textId="77777777" w:rsidR="00DA7E0D" w:rsidRPr="00426E05" w:rsidRDefault="00DA7E0D" w:rsidP="00DA7E0D">
      <w:pPr>
        <w:spacing w:before="40" w:after="40"/>
        <w:rPr>
          <w:sz w:val="20"/>
          <w:szCs w:val="22"/>
        </w:rPr>
      </w:pPr>
      <w:r w:rsidRPr="00426E05">
        <w:rPr>
          <w:sz w:val="20"/>
          <w:szCs w:val="22"/>
        </w:rPr>
        <w:t>ČRA – Česká rozvojová agentura</w:t>
      </w:r>
    </w:p>
    <w:p w14:paraId="0BD10C5A" w14:textId="77777777" w:rsidR="00DA7E0D" w:rsidRPr="00426E05" w:rsidRDefault="00DA7E0D" w:rsidP="00DA7E0D">
      <w:pPr>
        <w:spacing w:before="40" w:after="40"/>
        <w:rPr>
          <w:sz w:val="20"/>
          <w:szCs w:val="22"/>
        </w:rPr>
      </w:pPr>
      <w:r w:rsidRPr="00426E05">
        <w:rPr>
          <w:sz w:val="20"/>
          <w:szCs w:val="22"/>
        </w:rPr>
        <w:t xml:space="preserve">DAC – Development </w:t>
      </w:r>
      <w:proofErr w:type="spellStart"/>
      <w:r w:rsidRPr="00426E05">
        <w:rPr>
          <w:sz w:val="20"/>
          <w:szCs w:val="22"/>
        </w:rPr>
        <w:t>Assistance</w:t>
      </w:r>
      <w:proofErr w:type="spellEnd"/>
      <w:r w:rsidRPr="00426E05">
        <w:rPr>
          <w:sz w:val="20"/>
          <w:szCs w:val="22"/>
        </w:rPr>
        <w:t xml:space="preserve"> </w:t>
      </w:r>
      <w:proofErr w:type="spellStart"/>
      <w:r w:rsidRPr="00426E05">
        <w:rPr>
          <w:sz w:val="20"/>
          <w:szCs w:val="22"/>
        </w:rPr>
        <w:t>Committee</w:t>
      </w:r>
      <w:proofErr w:type="spellEnd"/>
    </w:p>
    <w:p w14:paraId="683F3F72" w14:textId="0CD8877B" w:rsidR="00DA7E0D" w:rsidRDefault="00DA7E0D" w:rsidP="00DA7E0D">
      <w:pPr>
        <w:spacing w:before="40" w:after="40"/>
        <w:rPr>
          <w:sz w:val="20"/>
          <w:szCs w:val="22"/>
        </w:rPr>
      </w:pPr>
      <w:r w:rsidRPr="00426E05">
        <w:rPr>
          <w:sz w:val="20"/>
          <w:szCs w:val="22"/>
        </w:rPr>
        <w:t xml:space="preserve">DMDP – </w:t>
      </w:r>
      <w:proofErr w:type="spellStart"/>
      <w:r w:rsidRPr="00426E05">
        <w:rPr>
          <w:sz w:val="20"/>
          <w:szCs w:val="22"/>
        </w:rPr>
        <w:t>Danida</w:t>
      </w:r>
      <w:proofErr w:type="spellEnd"/>
      <w:r w:rsidRPr="00426E05">
        <w:rPr>
          <w:sz w:val="20"/>
          <w:szCs w:val="22"/>
        </w:rPr>
        <w:t xml:space="preserve"> Market Development </w:t>
      </w:r>
      <w:proofErr w:type="spellStart"/>
      <w:r w:rsidRPr="00426E05">
        <w:rPr>
          <w:sz w:val="20"/>
          <w:szCs w:val="22"/>
        </w:rPr>
        <w:t>Partnership</w:t>
      </w:r>
      <w:proofErr w:type="spellEnd"/>
      <w:r w:rsidRPr="00426E05">
        <w:rPr>
          <w:sz w:val="20"/>
          <w:szCs w:val="22"/>
        </w:rPr>
        <w:t xml:space="preserve"> Program</w:t>
      </w:r>
    </w:p>
    <w:p w14:paraId="69D23925" w14:textId="71F3DA1E" w:rsidR="00092527" w:rsidRPr="00426E05" w:rsidRDefault="00092527" w:rsidP="00DA7E0D">
      <w:pPr>
        <w:spacing w:before="40" w:after="40"/>
        <w:rPr>
          <w:sz w:val="20"/>
          <w:szCs w:val="22"/>
        </w:rPr>
      </w:pPr>
      <w:r>
        <w:rPr>
          <w:sz w:val="20"/>
          <w:szCs w:val="22"/>
        </w:rPr>
        <w:t>EP – Environmentální</w:t>
      </w:r>
      <w:r w:rsidRPr="001044E2">
        <w:rPr>
          <w:color w:val="000000" w:themeColor="text1"/>
          <w:sz w:val="20"/>
          <w:szCs w:val="20"/>
        </w:rPr>
        <w:t xml:space="preserve"> poradenství</w:t>
      </w:r>
    </w:p>
    <w:p w14:paraId="5D71F252" w14:textId="5B5DEA5B" w:rsidR="00DA7E0D" w:rsidRDefault="00DA7E0D" w:rsidP="00DA7E0D">
      <w:pPr>
        <w:spacing w:before="40" w:after="40"/>
        <w:rPr>
          <w:sz w:val="20"/>
          <w:szCs w:val="22"/>
        </w:rPr>
      </w:pPr>
      <w:r w:rsidRPr="00426E05">
        <w:rPr>
          <w:sz w:val="20"/>
          <w:szCs w:val="22"/>
        </w:rPr>
        <w:t>EU – Evropská unie</w:t>
      </w:r>
    </w:p>
    <w:p w14:paraId="3CF49CCB" w14:textId="75CF582E" w:rsidR="00DA5A59" w:rsidRDefault="00DA5A59" w:rsidP="00DA7E0D">
      <w:pPr>
        <w:spacing w:before="40" w:after="40"/>
        <w:rPr>
          <w:sz w:val="20"/>
          <w:szCs w:val="22"/>
        </w:rPr>
      </w:pPr>
      <w:r>
        <w:rPr>
          <w:sz w:val="20"/>
          <w:szCs w:val="22"/>
        </w:rPr>
        <w:t>EVVO – E</w:t>
      </w:r>
      <w:r w:rsidRPr="001044E2">
        <w:rPr>
          <w:color w:val="000000" w:themeColor="text1"/>
          <w:sz w:val="20"/>
          <w:szCs w:val="20"/>
        </w:rPr>
        <w:t>nvironmentální vzdělávání, výchov</w:t>
      </w:r>
      <w:r>
        <w:rPr>
          <w:color w:val="000000" w:themeColor="text1"/>
          <w:sz w:val="20"/>
          <w:szCs w:val="20"/>
        </w:rPr>
        <w:t>a</w:t>
      </w:r>
      <w:r w:rsidRPr="001044E2">
        <w:rPr>
          <w:color w:val="000000" w:themeColor="text1"/>
          <w:sz w:val="20"/>
          <w:szCs w:val="20"/>
        </w:rPr>
        <w:t xml:space="preserve"> a osvět</w:t>
      </w:r>
      <w:r>
        <w:rPr>
          <w:color w:val="000000" w:themeColor="text1"/>
          <w:sz w:val="20"/>
          <w:szCs w:val="20"/>
        </w:rPr>
        <w:t>a</w:t>
      </w:r>
    </w:p>
    <w:p w14:paraId="533FFA1E" w14:textId="5A4E5F4A" w:rsidR="005E2A44" w:rsidRPr="00426E05" w:rsidRDefault="005E2A44" w:rsidP="00DA7E0D">
      <w:pPr>
        <w:spacing w:before="40" w:after="40"/>
        <w:rPr>
          <w:sz w:val="20"/>
          <w:szCs w:val="22"/>
        </w:rPr>
      </w:pPr>
      <w:bookmarkStart w:id="69" w:name="_Hlk75215340"/>
      <w:proofErr w:type="spellStart"/>
      <w:r>
        <w:rPr>
          <w:sz w:val="20"/>
          <w:szCs w:val="22"/>
        </w:rPr>
        <w:t>FoRS</w:t>
      </w:r>
      <w:proofErr w:type="spellEnd"/>
      <w:r>
        <w:rPr>
          <w:sz w:val="20"/>
          <w:szCs w:val="22"/>
        </w:rPr>
        <w:t xml:space="preserve"> – Fórum</w:t>
      </w:r>
      <w:r w:rsidRPr="006E0896">
        <w:rPr>
          <w:sz w:val="20"/>
          <w:szCs w:val="20"/>
        </w:rPr>
        <w:t xml:space="preserve"> pro rozvojovou spolupráci</w:t>
      </w:r>
      <w:bookmarkEnd w:id="69"/>
    </w:p>
    <w:p w14:paraId="776A21EE" w14:textId="77777777" w:rsidR="00DA7E0D" w:rsidRPr="00426E05" w:rsidRDefault="00DA7E0D" w:rsidP="00DA7E0D">
      <w:pPr>
        <w:spacing w:before="40" w:after="40"/>
        <w:rPr>
          <w:sz w:val="20"/>
          <w:szCs w:val="22"/>
        </w:rPr>
      </w:pPr>
      <w:r w:rsidRPr="00426E05">
        <w:rPr>
          <w:sz w:val="20"/>
          <w:szCs w:val="22"/>
        </w:rPr>
        <w:t>GIZ – Německá rozvojová agentura</w:t>
      </w:r>
    </w:p>
    <w:p w14:paraId="3DA4A81D" w14:textId="77777777" w:rsidR="00DA7E0D" w:rsidRPr="00426E05" w:rsidRDefault="00DA7E0D" w:rsidP="00DA7E0D">
      <w:pPr>
        <w:spacing w:before="40" w:after="40"/>
        <w:rPr>
          <w:sz w:val="20"/>
          <w:szCs w:val="22"/>
        </w:rPr>
      </w:pPr>
      <w:r w:rsidRPr="00426E05">
        <w:rPr>
          <w:sz w:val="20"/>
          <w:szCs w:val="22"/>
        </w:rPr>
        <w:t>GRV – Globální rozvojové vzdělávání</w:t>
      </w:r>
    </w:p>
    <w:p w14:paraId="70D235BA" w14:textId="50788E71" w:rsidR="00DA7E0D" w:rsidRDefault="00DA7E0D" w:rsidP="00DA7E0D">
      <w:pPr>
        <w:spacing w:before="40" w:after="40"/>
        <w:rPr>
          <w:sz w:val="20"/>
          <w:szCs w:val="22"/>
        </w:rPr>
      </w:pPr>
      <w:r w:rsidRPr="00426E05">
        <w:rPr>
          <w:sz w:val="20"/>
          <w:szCs w:val="22"/>
        </w:rPr>
        <w:t>MPSV – Ministerstvo práce a sociálních věcí ČR</w:t>
      </w:r>
    </w:p>
    <w:p w14:paraId="3BFD7871" w14:textId="1E9BB063" w:rsidR="005E2A44" w:rsidRDefault="005E2A44" w:rsidP="00DA7E0D">
      <w:pPr>
        <w:spacing w:before="40" w:after="40"/>
        <w:rPr>
          <w:sz w:val="20"/>
          <w:szCs w:val="22"/>
        </w:rPr>
      </w:pPr>
      <w:r>
        <w:rPr>
          <w:sz w:val="20"/>
          <w:szCs w:val="22"/>
        </w:rPr>
        <w:t>MZV – Ministerstvo zahraničních věcí ČR</w:t>
      </w:r>
    </w:p>
    <w:p w14:paraId="2DBD55C4" w14:textId="14104D77" w:rsidR="005E2A44" w:rsidRPr="00426E05" w:rsidRDefault="005E2A44" w:rsidP="00DA7E0D">
      <w:pPr>
        <w:spacing w:before="40" w:after="40"/>
        <w:rPr>
          <w:sz w:val="20"/>
          <w:szCs w:val="22"/>
        </w:rPr>
      </w:pPr>
      <w:r>
        <w:rPr>
          <w:sz w:val="20"/>
          <w:szCs w:val="22"/>
        </w:rPr>
        <w:t>MŽP – Ministerstvo životního prostředí ČR</w:t>
      </w:r>
    </w:p>
    <w:p w14:paraId="4B640E91" w14:textId="77777777" w:rsidR="00DA7E0D" w:rsidRPr="00426E05" w:rsidRDefault="00DA7E0D" w:rsidP="00DA7E0D">
      <w:pPr>
        <w:spacing w:before="40" w:after="40"/>
        <w:rPr>
          <w:sz w:val="20"/>
          <w:szCs w:val="22"/>
        </w:rPr>
      </w:pPr>
      <w:proofErr w:type="spellStart"/>
      <w:r w:rsidRPr="00426E05">
        <w:rPr>
          <w:sz w:val="20"/>
          <w:szCs w:val="22"/>
        </w:rPr>
        <w:t>NGAs</w:t>
      </w:r>
      <w:proofErr w:type="spellEnd"/>
      <w:r w:rsidRPr="00426E05">
        <w:rPr>
          <w:sz w:val="20"/>
          <w:szCs w:val="22"/>
        </w:rPr>
        <w:t xml:space="preserve"> – Non-</w:t>
      </w:r>
      <w:proofErr w:type="spellStart"/>
      <w:r w:rsidRPr="00426E05">
        <w:rPr>
          <w:sz w:val="20"/>
          <w:szCs w:val="22"/>
        </w:rPr>
        <w:t>government</w:t>
      </w:r>
      <w:proofErr w:type="spellEnd"/>
      <w:r w:rsidRPr="00426E05">
        <w:rPr>
          <w:sz w:val="20"/>
          <w:szCs w:val="22"/>
        </w:rPr>
        <w:t xml:space="preserve"> </w:t>
      </w:r>
      <w:proofErr w:type="spellStart"/>
      <w:r w:rsidRPr="00426E05">
        <w:rPr>
          <w:sz w:val="20"/>
          <w:szCs w:val="22"/>
        </w:rPr>
        <w:t>actors</w:t>
      </w:r>
      <w:proofErr w:type="spellEnd"/>
    </w:p>
    <w:p w14:paraId="588F9D07" w14:textId="77777777" w:rsidR="00DA7E0D" w:rsidRPr="00426E05" w:rsidRDefault="00DA7E0D" w:rsidP="00DA7E0D">
      <w:pPr>
        <w:spacing w:before="40" w:after="40"/>
        <w:rPr>
          <w:sz w:val="20"/>
          <w:szCs w:val="22"/>
        </w:rPr>
      </w:pPr>
      <w:r w:rsidRPr="00426E05">
        <w:rPr>
          <w:sz w:val="20"/>
          <w:szCs w:val="22"/>
        </w:rPr>
        <w:t>NNO – Nestátní neziskové organizace</w:t>
      </w:r>
    </w:p>
    <w:p w14:paraId="1887F2E8" w14:textId="77777777" w:rsidR="00DA7E0D" w:rsidRPr="00426E05" w:rsidRDefault="00DA7E0D" w:rsidP="00DA7E0D">
      <w:pPr>
        <w:spacing w:before="40" w:after="40"/>
        <w:rPr>
          <w:sz w:val="20"/>
          <w:szCs w:val="22"/>
        </w:rPr>
      </w:pPr>
      <w:proofErr w:type="spellStart"/>
      <w:r w:rsidRPr="00426E05">
        <w:rPr>
          <w:sz w:val="20"/>
          <w:szCs w:val="22"/>
        </w:rPr>
        <w:t>Norad</w:t>
      </w:r>
      <w:proofErr w:type="spellEnd"/>
      <w:r w:rsidRPr="00426E05">
        <w:rPr>
          <w:sz w:val="20"/>
          <w:szCs w:val="22"/>
        </w:rPr>
        <w:t xml:space="preserve"> – Norská agentura pro rozvojovou spolupráci</w:t>
      </w:r>
    </w:p>
    <w:p w14:paraId="327E6E32" w14:textId="77777777" w:rsidR="00DA7E0D" w:rsidRPr="00426E05" w:rsidRDefault="00DA7E0D" w:rsidP="00DA7E0D">
      <w:pPr>
        <w:spacing w:before="40" w:after="40"/>
        <w:rPr>
          <w:sz w:val="20"/>
          <w:szCs w:val="22"/>
        </w:rPr>
      </w:pPr>
      <w:r w:rsidRPr="00426E05">
        <w:rPr>
          <w:sz w:val="20"/>
          <w:szCs w:val="22"/>
        </w:rPr>
        <w:t xml:space="preserve">OECD/DAC – </w:t>
      </w:r>
      <w:proofErr w:type="spellStart"/>
      <w:r w:rsidRPr="00426E05">
        <w:rPr>
          <w:sz w:val="20"/>
          <w:szCs w:val="22"/>
        </w:rPr>
        <w:t>Organisation</w:t>
      </w:r>
      <w:proofErr w:type="spellEnd"/>
      <w:r w:rsidRPr="00426E05">
        <w:rPr>
          <w:sz w:val="20"/>
          <w:szCs w:val="22"/>
        </w:rPr>
        <w:t xml:space="preserve"> </w:t>
      </w:r>
      <w:proofErr w:type="spellStart"/>
      <w:r w:rsidRPr="00426E05">
        <w:rPr>
          <w:sz w:val="20"/>
          <w:szCs w:val="22"/>
        </w:rPr>
        <w:t>for</w:t>
      </w:r>
      <w:proofErr w:type="spellEnd"/>
      <w:r w:rsidRPr="00426E05">
        <w:rPr>
          <w:sz w:val="20"/>
          <w:szCs w:val="22"/>
        </w:rPr>
        <w:t xml:space="preserve"> </w:t>
      </w:r>
      <w:proofErr w:type="spellStart"/>
      <w:r w:rsidRPr="00426E05">
        <w:rPr>
          <w:sz w:val="20"/>
          <w:szCs w:val="22"/>
        </w:rPr>
        <w:t>Economic</w:t>
      </w:r>
      <w:proofErr w:type="spellEnd"/>
      <w:r w:rsidRPr="00426E05">
        <w:rPr>
          <w:sz w:val="20"/>
          <w:szCs w:val="22"/>
        </w:rPr>
        <w:t xml:space="preserve"> Co-</w:t>
      </w:r>
      <w:proofErr w:type="spellStart"/>
      <w:r w:rsidRPr="00426E05">
        <w:rPr>
          <w:sz w:val="20"/>
          <w:szCs w:val="22"/>
        </w:rPr>
        <w:t>operation</w:t>
      </w:r>
      <w:proofErr w:type="spellEnd"/>
      <w:r w:rsidRPr="00426E05">
        <w:rPr>
          <w:sz w:val="20"/>
          <w:szCs w:val="22"/>
        </w:rPr>
        <w:t xml:space="preserve"> and Development / Development </w:t>
      </w:r>
      <w:proofErr w:type="spellStart"/>
      <w:r w:rsidRPr="00426E05">
        <w:rPr>
          <w:sz w:val="20"/>
          <w:szCs w:val="22"/>
        </w:rPr>
        <w:t>Assistance</w:t>
      </w:r>
      <w:proofErr w:type="spellEnd"/>
      <w:r w:rsidRPr="00426E05">
        <w:rPr>
          <w:sz w:val="20"/>
          <w:szCs w:val="22"/>
        </w:rPr>
        <w:t xml:space="preserve"> </w:t>
      </w:r>
      <w:proofErr w:type="spellStart"/>
      <w:r w:rsidRPr="00426E05">
        <w:rPr>
          <w:sz w:val="20"/>
          <w:szCs w:val="22"/>
        </w:rPr>
        <w:t>Committee</w:t>
      </w:r>
      <w:proofErr w:type="spellEnd"/>
    </w:p>
    <w:p w14:paraId="37564BAE" w14:textId="77777777" w:rsidR="00DA7E0D" w:rsidRPr="00426E05" w:rsidRDefault="00DA7E0D" w:rsidP="00DA7E0D">
      <w:pPr>
        <w:spacing w:before="40" w:after="40"/>
        <w:rPr>
          <w:sz w:val="20"/>
          <w:szCs w:val="22"/>
        </w:rPr>
      </w:pPr>
      <w:r w:rsidRPr="00426E05">
        <w:rPr>
          <w:sz w:val="20"/>
          <w:szCs w:val="22"/>
        </w:rPr>
        <w:t>OOS – Organizace občanské společnosti</w:t>
      </w:r>
    </w:p>
    <w:p w14:paraId="04A2320C" w14:textId="77777777" w:rsidR="00DA7E0D" w:rsidRPr="00426E05" w:rsidRDefault="00DA7E0D" w:rsidP="00DA7E0D">
      <w:pPr>
        <w:spacing w:before="40" w:after="40"/>
        <w:rPr>
          <w:sz w:val="20"/>
          <w:szCs w:val="22"/>
        </w:rPr>
      </w:pPr>
      <w:r w:rsidRPr="00426E05">
        <w:rPr>
          <w:sz w:val="20"/>
          <w:szCs w:val="22"/>
        </w:rPr>
        <w:t>OP – Operační program</w:t>
      </w:r>
    </w:p>
    <w:p w14:paraId="70E5027A" w14:textId="5FD0E18B" w:rsidR="00426E05" w:rsidRPr="00426E05" w:rsidRDefault="00426E05" w:rsidP="00DA7E0D">
      <w:pPr>
        <w:spacing w:before="40" w:after="40"/>
        <w:rPr>
          <w:sz w:val="20"/>
          <w:szCs w:val="22"/>
        </w:rPr>
      </w:pPr>
      <w:r w:rsidRPr="00426E05">
        <w:rPr>
          <w:sz w:val="20"/>
          <w:szCs w:val="22"/>
        </w:rPr>
        <w:t>OP Z – Operační program Zaměstnanost</w:t>
      </w:r>
    </w:p>
    <w:p w14:paraId="5D66B60C" w14:textId="22C168FA" w:rsidR="00DA7E0D" w:rsidRPr="00426E05" w:rsidRDefault="00DA7E0D" w:rsidP="00DA7E0D">
      <w:pPr>
        <w:spacing w:before="40" w:after="40"/>
        <w:rPr>
          <w:sz w:val="20"/>
          <w:szCs w:val="22"/>
        </w:rPr>
      </w:pPr>
      <w:r w:rsidRPr="00426E05">
        <w:rPr>
          <w:sz w:val="20"/>
          <w:szCs w:val="22"/>
        </w:rPr>
        <w:t xml:space="preserve">PPDP – Public </w:t>
      </w:r>
      <w:proofErr w:type="spellStart"/>
      <w:r w:rsidRPr="00426E05">
        <w:rPr>
          <w:sz w:val="20"/>
          <w:szCs w:val="22"/>
        </w:rPr>
        <w:t>Private</w:t>
      </w:r>
      <w:proofErr w:type="spellEnd"/>
      <w:r w:rsidRPr="00426E05">
        <w:rPr>
          <w:sz w:val="20"/>
          <w:szCs w:val="22"/>
        </w:rPr>
        <w:t xml:space="preserve"> Development Program</w:t>
      </w:r>
    </w:p>
    <w:p w14:paraId="4862D355" w14:textId="77777777" w:rsidR="00DA7E0D" w:rsidRPr="00426E05" w:rsidRDefault="00DA7E0D" w:rsidP="00DA7E0D">
      <w:pPr>
        <w:spacing w:before="40" w:after="40"/>
        <w:rPr>
          <w:sz w:val="20"/>
          <w:szCs w:val="22"/>
        </w:rPr>
      </w:pPr>
      <w:r w:rsidRPr="00426E05">
        <w:rPr>
          <w:sz w:val="20"/>
          <w:szCs w:val="22"/>
        </w:rPr>
        <w:t>PR – Public relations</w:t>
      </w:r>
    </w:p>
    <w:p w14:paraId="12525014" w14:textId="77777777" w:rsidR="00DA7E0D" w:rsidRPr="00426E05" w:rsidRDefault="00DA7E0D" w:rsidP="00DA7E0D">
      <w:pPr>
        <w:spacing w:before="40" w:after="40"/>
        <w:rPr>
          <w:sz w:val="20"/>
          <w:szCs w:val="22"/>
        </w:rPr>
      </w:pPr>
      <w:r w:rsidRPr="00426E05">
        <w:rPr>
          <w:sz w:val="20"/>
          <w:szCs w:val="22"/>
        </w:rPr>
        <w:t>Program – Program posilování kapacit a partnerství nestátních neziskových organizací a platforem nestátních subjektů pro rozvojovou spolupráci za léta 2017-2019</w:t>
      </w:r>
    </w:p>
    <w:p w14:paraId="7AD6CDD4" w14:textId="77777777" w:rsidR="00DA7E0D" w:rsidRPr="00426E05" w:rsidRDefault="00DA7E0D" w:rsidP="00DA7E0D">
      <w:pPr>
        <w:spacing w:before="40" w:after="40"/>
        <w:rPr>
          <w:sz w:val="20"/>
          <w:szCs w:val="22"/>
        </w:rPr>
      </w:pPr>
      <w:proofErr w:type="spellStart"/>
      <w:r w:rsidRPr="00426E05">
        <w:rPr>
          <w:sz w:val="20"/>
          <w:szCs w:val="22"/>
        </w:rPr>
        <w:t>SDGs</w:t>
      </w:r>
      <w:proofErr w:type="spellEnd"/>
      <w:r w:rsidRPr="00426E05">
        <w:rPr>
          <w:sz w:val="20"/>
          <w:szCs w:val="22"/>
        </w:rPr>
        <w:t xml:space="preserve"> – </w:t>
      </w:r>
      <w:proofErr w:type="spellStart"/>
      <w:r w:rsidRPr="00426E05">
        <w:rPr>
          <w:sz w:val="20"/>
          <w:szCs w:val="22"/>
        </w:rPr>
        <w:t>Sustainable</w:t>
      </w:r>
      <w:proofErr w:type="spellEnd"/>
      <w:r w:rsidRPr="00426E05">
        <w:rPr>
          <w:sz w:val="20"/>
          <w:szCs w:val="22"/>
        </w:rPr>
        <w:t xml:space="preserve"> Development </w:t>
      </w:r>
      <w:proofErr w:type="spellStart"/>
      <w:r w:rsidRPr="00426E05">
        <w:rPr>
          <w:sz w:val="20"/>
          <w:szCs w:val="22"/>
        </w:rPr>
        <w:t>Goals</w:t>
      </w:r>
      <w:proofErr w:type="spellEnd"/>
    </w:p>
    <w:p w14:paraId="1DA3318F" w14:textId="77777777" w:rsidR="00DA7E0D" w:rsidRPr="00426E05" w:rsidRDefault="00DA7E0D" w:rsidP="00DA7E0D">
      <w:pPr>
        <w:spacing w:before="40" w:after="40"/>
        <w:rPr>
          <w:sz w:val="20"/>
          <w:szCs w:val="22"/>
        </w:rPr>
      </w:pPr>
      <w:r w:rsidRPr="00426E05">
        <w:rPr>
          <w:sz w:val="20"/>
          <w:szCs w:val="22"/>
        </w:rPr>
        <w:t>SIDA – Švédská rozvojová agentura</w:t>
      </w:r>
    </w:p>
    <w:p w14:paraId="18B0F206" w14:textId="77777777" w:rsidR="00DA7E0D" w:rsidRPr="00426E05" w:rsidRDefault="00DA7E0D" w:rsidP="00DA7E0D">
      <w:pPr>
        <w:spacing w:before="40" w:after="40"/>
        <w:rPr>
          <w:sz w:val="20"/>
          <w:szCs w:val="22"/>
        </w:rPr>
      </w:pPr>
      <w:r w:rsidRPr="00426E05">
        <w:rPr>
          <w:sz w:val="20"/>
          <w:szCs w:val="22"/>
        </w:rPr>
        <w:t xml:space="preserve">SLSD – </w:t>
      </w:r>
      <w:proofErr w:type="spellStart"/>
      <w:r w:rsidRPr="00426E05">
        <w:rPr>
          <w:sz w:val="20"/>
          <w:szCs w:val="22"/>
        </w:rPr>
        <w:t>Swedish</w:t>
      </w:r>
      <w:proofErr w:type="spellEnd"/>
      <w:r w:rsidRPr="00426E05">
        <w:rPr>
          <w:sz w:val="20"/>
          <w:szCs w:val="22"/>
        </w:rPr>
        <w:t xml:space="preserve"> Leadership </w:t>
      </w:r>
      <w:proofErr w:type="spellStart"/>
      <w:r w:rsidRPr="00426E05">
        <w:rPr>
          <w:sz w:val="20"/>
          <w:szCs w:val="22"/>
        </w:rPr>
        <w:t>for</w:t>
      </w:r>
      <w:proofErr w:type="spellEnd"/>
      <w:r w:rsidRPr="00426E05">
        <w:rPr>
          <w:sz w:val="20"/>
          <w:szCs w:val="22"/>
        </w:rPr>
        <w:t xml:space="preserve"> </w:t>
      </w:r>
      <w:proofErr w:type="spellStart"/>
      <w:r w:rsidRPr="00426E05">
        <w:rPr>
          <w:sz w:val="20"/>
          <w:szCs w:val="22"/>
        </w:rPr>
        <w:t>Sustainable</w:t>
      </w:r>
      <w:proofErr w:type="spellEnd"/>
      <w:r w:rsidRPr="00426E05">
        <w:rPr>
          <w:sz w:val="20"/>
          <w:szCs w:val="22"/>
        </w:rPr>
        <w:t xml:space="preserve"> Development</w:t>
      </w:r>
    </w:p>
    <w:p w14:paraId="57419710" w14:textId="77777777" w:rsidR="00DA7E0D" w:rsidRPr="00426E05" w:rsidRDefault="00DA7E0D" w:rsidP="00DA7E0D">
      <w:pPr>
        <w:spacing w:before="40" w:after="40"/>
        <w:rPr>
          <w:sz w:val="20"/>
          <w:szCs w:val="22"/>
        </w:rPr>
      </w:pPr>
      <w:r w:rsidRPr="00426E05">
        <w:rPr>
          <w:sz w:val="20"/>
          <w:szCs w:val="22"/>
        </w:rPr>
        <w:t xml:space="preserve">UN – United </w:t>
      </w:r>
      <w:proofErr w:type="spellStart"/>
      <w:r w:rsidRPr="00426E05">
        <w:rPr>
          <w:sz w:val="20"/>
          <w:szCs w:val="22"/>
        </w:rPr>
        <w:t>Nations</w:t>
      </w:r>
      <w:proofErr w:type="spellEnd"/>
    </w:p>
    <w:p w14:paraId="0A4D1436" w14:textId="77777777" w:rsidR="00DA7E0D" w:rsidRPr="00426E05" w:rsidRDefault="00DA7E0D" w:rsidP="00DA7E0D">
      <w:pPr>
        <w:spacing w:before="40" w:after="40"/>
        <w:rPr>
          <w:sz w:val="20"/>
          <w:szCs w:val="22"/>
        </w:rPr>
      </w:pPr>
      <w:r w:rsidRPr="00426E05">
        <w:rPr>
          <w:sz w:val="20"/>
          <w:szCs w:val="22"/>
        </w:rPr>
        <w:t>ZRS – Zahraniční rozvojová spolupráce</w:t>
      </w:r>
    </w:p>
    <w:p w14:paraId="4A0D1576" w14:textId="77777777" w:rsidR="00DA7E0D" w:rsidRPr="00426E05" w:rsidRDefault="00DA7E0D" w:rsidP="00DA7E0D">
      <w:pPr>
        <w:spacing w:before="40" w:after="40"/>
        <w:rPr>
          <w:sz w:val="20"/>
          <w:szCs w:val="22"/>
        </w:rPr>
      </w:pPr>
      <w:r w:rsidRPr="00426E05">
        <w:rPr>
          <w:sz w:val="20"/>
          <w:szCs w:val="22"/>
        </w:rPr>
        <w:t>ZRS ČR –Zahraniční rozvojová spolupráce České republiky</w:t>
      </w:r>
    </w:p>
    <w:p w14:paraId="72FD3265" w14:textId="77777777" w:rsidR="00DA7E0D" w:rsidRPr="00CE217B" w:rsidRDefault="00DA7E0D" w:rsidP="00DA7E0D"/>
    <w:p w14:paraId="7683476C" w14:textId="33C583AE" w:rsidR="00DA7E0D" w:rsidRPr="00310D76" w:rsidRDefault="004D66A3" w:rsidP="00310D76">
      <w:pPr>
        <w:pStyle w:val="Nadpis1"/>
        <w:numPr>
          <w:ilvl w:val="0"/>
          <w:numId w:val="0"/>
        </w:numPr>
        <w:ind w:left="432" w:hanging="432"/>
      </w:pPr>
      <w:bookmarkStart w:id="70" w:name="_Toc75263418"/>
      <w:r w:rsidRPr="00310D76">
        <w:t>ZDROJE</w:t>
      </w:r>
      <w:bookmarkEnd w:id="70"/>
    </w:p>
    <w:p w14:paraId="3CCAD0B4"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Allard</w:t>
      </w:r>
      <w:proofErr w:type="spellEnd"/>
      <w:r w:rsidRPr="00426E05">
        <w:rPr>
          <w:color w:val="000000"/>
          <w:sz w:val="20"/>
          <w:szCs w:val="20"/>
        </w:rPr>
        <w:t xml:space="preserve">, G.J. and </w:t>
      </w:r>
      <w:proofErr w:type="spellStart"/>
      <w:r w:rsidRPr="00426E05">
        <w:rPr>
          <w:color w:val="000000"/>
          <w:sz w:val="20"/>
          <w:szCs w:val="20"/>
        </w:rPr>
        <w:t>Martinez</w:t>
      </w:r>
      <w:proofErr w:type="spellEnd"/>
      <w:r w:rsidRPr="00426E05">
        <w:rPr>
          <w:color w:val="000000"/>
          <w:sz w:val="20"/>
          <w:szCs w:val="20"/>
        </w:rPr>
        <w:t>, A. (2008). </w:t>
      </w:r>
      <w:proofErr w:type="spellStart"/>
      <w:r w:rsidRPr="00426E05">
        <w:rPr>
          <w:i/>
          <w:iCs/>
          <w:color w:val="000000"/>
          <w:sz w:val="20"/>
          <w:szCs w:val="20"/>
        </w:rPr>
        <w:t>The</w:t>
      </w:r>
      <w:proofErr w:type="spellEnd"/>
      <w:r w:rsidRPr="00426E05">
        <w:rPr>
          <w:i/>
          <w:iCs/>
          <w:color w:val="000000"/>
          <w:sz w:val="20"/>
          <w:szCs w:val="20"/>
        </w:rPr>
        <w:t xml:space="preserve"> Influence </w:t>
      </w:r>
      <w:proofErr w:type="spellStart"/>
      <w:r w:rsidRPr="00426E05">
        <w:rPr>
          <w:i/>
          <w:iCs/>
          <w:color w:val="000000"/>
          <w:sz w:val="20"/>
          <w:szCs w:val="20"/>
        </w:rPr>
        <w:t>of</w:t>
      </w:r>
      <w:proofErr w:type="spellEnd"/>
      <w:r w:rsidRPr="00426E05">
        <w:rPr>
          <w:i/>
          <w:iCs/>
          <w:color w:val="000000"/>
          <w:sz w:val="20"/>
          <w:szCs w:val="20"/>
        </w:rPr>
        <w:t xml:space="preserve"> </w:t>
      </w:r>
      <w:proofErr w:type="spellStart"/>
      <w:r w:rsidRPr="00426E05">
        <w:rPr>
          <w:i/>
          <w:iCs/>
          <w:color w:val="000000"/>
          <w:sz w:val="20"/>
          <w:szCs w:val="20"/>
        </w:rPr>
        <w:t>Government</w:t>
      </w:r>
      <w:proofErr w:type="spellEnd"/>
      <w:r w:rsidRPr="00426E05">
        <w:rPr>
          <w:i/>
          <w:iCs/>
          <w:color w:val="000000"/>
          <w:sz w:val="20"/>
          <w:szCs w:val="20"/>
        </w:rPr>
        <w:t xml:space="preserve"> </w:t>
      </w:r>
      <w:proofErr w:type="spellStart"/>
      <w:r w:rsidRPr="00426E05">
        <w:rPr>
          <w:i/>
          <w:iCs/>
          <w:color w:val="000000"/>
          <w:sz w:val="20"/>
          <w:szCs w:val="20"/>
        </w:rPr>
        <w:t>Policy</w:t>
      </w:r>
      <w:proofErr w:type="spellEnd"/>
      <w:r w:rsidRPr="00426E05">
        <w:rPr>
          <w:i/>
          <w:iCs/>
          <w:color w:val="000000"/>
          <w:sz w:val="20"/>
          <w:szCs w:val="20"/>
        </w:rPr>
        <w:t xml:space="preserve"> and </w:t>
      </w:r>
      <w:proofErr w:type="spellStart"/>
      <w:r w:rsidRPr="00426E05">
        <w:rPr>
          <w:i/>
          <w:iCs/>
          <w:color w:val="000000"/>
          <w:sz w:val="20"/>
          <w:szCs w:val="20"/>
        </w:rPr>
        <w:t>NGOs</w:t>
      </w:r>
      <w:proofErr w:type="spellEnd"/>
      <w:r w:rsidRPr="00426E05">
        <w:rPr>
          <w:i/>
          <w:iCs/>
          <w:color w:val="000000"/>
          <w:sz w:val="20"/>
          <w:szCs w:val="20"/>
        </w:rPr>
        <w:t xml:space="preserve"> on </w:t>
      </w:r>
      <w:proofErr w:type="spellStart"/>
      <w:r w:rsidRPr="00426E05">
        <w:rPr>
          <w:i/>
          <w:iCs/>
          <w:color w:val="000000"/>
          <w:sz w:val="20"/>
          <w:szCs w:val="20"/>
        </w:rPr>
        <w:t>Capturing</w:t>
      </w:r>
      <w:proofErr w:type="spellEnd"/>
      <w:r w:rsidRPr="00426E05">
        <w:rPr>
          <w:i/>
          <w:iCs/>
          <w:color w:val="000000"/>
          <w:sz w:val="20"/>
          <w:szCs w:val="20"/>
        </w:rPr>
        <w:t xml:space="preserve"> </w:t>
      </w:r>
      <w:proofErr w:type="spellStart"/>
      <w:r w:rsidRPr="00426E05">
        <w:rPr>
          <w:i/>
          <w:iCs/>
          <w:color w:val="000000"/>
          <w:sz w:val="20"/>
          <w:szCs w:val="20"/>
        </w:rPr>
        <w:t>Private</w:t>
      </w:r>
      <w:proofErr w:type="spellEnd"/>
      <w:r w:rsidRPr="00426E05">
        <w:rPr>
          <w:i/>
          <w:iCs/>
          <w:color w:val="000000"/>
          <w:sz w:val="20"/>
          <w:szCs w:val="20"/>
        </w:rPr>
        <w:t xml:space="preserve"> </w:t>
      </w:r>
      <w:proofErr w:type="spellStart"/>
      <w:r w:rsidRPr="00426E05">
        <w:rPr>
          <w:i/>
          <w:iCs/>
          <w:color w:val="000000"/>
          <w:sz w:val="20"/>
          <w:szCs w:val="20"/>
        </w:rPr>
        <w:t>Investment</w:t>
      </w:r>
      <w:proofErr w:type="spellEnd"/>
      <w:r w:rsidRPr="00426E05">
        <w:rPr>
          <w:color w:val="000000"/>
          <w:sz w:val="20"/>
          <w:szCs w:val="20"/>
        </w:rPr>
        <w:t>. [online] </w:t>
      </w:r>
      <w:proofErr w:type="spellStart"/>
      <w:r w:rsidRPr="00426E05">
        <w:rPr>
          <w:i/>
          <w:iCs/>
          <w:color w:val="000000"/>
          <w:sz w:val="20"/>
          <w:szCs w:val="20"/>
        </w:rPr>
        <w:t>Global</w:t>
      </w:r>
      <w:proofErr w:type="spellEnd"/>
      <w:r w:rsidRPr="00426E05">
        <w:rPr>
          <w:i/>
          <w:iCs/>
          <w:color w:val="000000"/>
          <w:sz w:val="20"/>
          <w:szCs w:val="20"/>
        </w:rPr>
        <w:t xml:space="preserve"> </w:t>
      </w:r>
      <w:proofErr w:type="spellStart"/>
      <w:r w:rsidRPr="00426E05">
        <w:rPr>
          <w:i/>
          <w:iCs/>
          <w:color w:val="000000"/>
          <w:sz w:val="20"/>
          <w:szCs w:val="20"/>
        </w:rPr>
        <w:t>Forum</w:t>
      </w:r>
      <w:proofErr w:type="spellEnd"/>
      <w:r w:rsidRPr="00426E05">
        <w:rPr>
          <w:i/>
          <w:iCs/>
          <w:color w:val="000000"/>
          <w:sz w:val="20"/>
          <w:szCs w:val="20"/>
        </w:rPr>
        <w:t xml:space="preserve"> on International </w:t>
      </w:r>
      <w:proofErr w:type="spellStart"/>
      <w:r w:rsidRPr="00426E05">
        <w:rPr>
          <w:i/>
          <w:iCs/>
          <w:color w:val="000000"/>
          <w:sz w:val="20"/>
          <w:szCs w:val="20"/>
        </w:rPr>
        <w:t>Investment</w:t>
      </w:r>
      <w:proofErr w:type="spellEnd"/>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1" w:history="1">
        <w:r w:rsidRPr="00426E05">
          <w:rPr>
            <w:rStyle w:val="Hypertextovodkaz"/>
            <w:sz w:val="20"/>
            <w:szCs w:val="20"/>
          </w:rPr>
          <w:t>https://www.semanticscholar.org/paper/THE-INFLUENCE-OF-GOVERNMENT-POLICY-AND-NGOS-ON-Allard-Martinez/f765aa04727ff9ed4e6169b53c3e85daa659aefc</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16 Jun. 2021].</w:t>
      </w:r>
    </w:p>
    <w:p w14:paraId="4BB56195" w14:textId="77777777" w:rsidR="00426E05" w:rsidRPr="00426E05" w:rsidRDefault="00426E05" w:rsidP="00426E05">
      <w:pPr>
        <w:shd w:val="clear" w:color="auto" w:fill="FFFFFF"/>
        <w:spacing w:before="80" w:after="80"/>
        <w:rPr>
          <w:color w:val="000000"/>
          <w:sz w:val="20"/>
          <w:szCs w:val="20"/>
        </w:rPr>
      </w:pPr>
      <w:r w:rsidRPr="00426E05">
        <w:rPr>
          <w:color w:val="000000"/>
          <w:sz w:val="20"/>
          <w:szCs w:val="20"/>
        </w:rPr>
        <w:lastRenderedPageBreak/>
        <w:t xml:space="preserve">Austin, J.E. and </w:t>
      </w:r>
      <w:proofErr w:type="spellStart"/>
      <w:r w:rsidRPr="00426E05">
        <w:rPr>
          <w:color w:val="000000"/>
          <w:sz w:val="20"/>
          <w:szCs w:val="20"/>
        </w:rPr>
        <w:t>Seitanidi</w:t>
      </w:r>
      <w:proofErr w:type="spellEnd"/>
      <w:r w:rsidRPr="00426E05">
        <w:rPr>
          <w:color w:val="000000"/>
          <w:sz w:val="20"/>
          <w:szCs w:val="20"/>
        </w:rPr>
        <w:t xml:space="preserve">, M.M. (2012). </w:t>
      </w:r>
      <w:proofErr w:type="spellStart"/>
      <w:r w:rsidRPr="00426E05">
        <w:rPr>
          <w:color w:val="000000"/>
          <w:sz w:val="20"/>
          <w:szCs w:val="20"/>
        </w:rPr>
        <w:t>Collaborative</w:t>
      </w:r>
      <w:proofErr w:type="spellEnd"/>
      <w:r w:rsidRPr="00426E05">
        <w:rPr>
          <w:color w:val="000000"/>
          <w:sz w:val="20"/>
          <w:szCs w:val="20"/>
        </w:rPr>
        <w:t xml:space="preserve"> </w:t>
      </w:r>
      <w:proofErr w:type="spellStart"/>
      <w:r w:rsidRPr="00426E05">
        <w:rPr>
          <w:color w:val="000000"/>
          <w:sz w:val="20"/>
          <w:szCs w:val="20"/>
        </w:rPr>
        <w:t>Value</w:t>
      </w:r>
      <w:proofErr w:type="spellEnd"/>
      <w:r w:rsidRPr="00426E05">
        <w:rPr>
          <w:color w:val="000000"/>
          <w:sz w:val="20"/>
          <w:szCs w:val="20"/>
        </w:rPr>
        <w:t xml:space="preserve"> </w:t>
      </w:r>
      <w:proofErr w:type="spellStart"/>
      <w:r w:rsidRPr="00426E05">
        <w:rPr>
          <w:color w:val="000000"/>
          <w:sz w:val="20"/>
          <w:szCs w:val="20"/>
        </w:rPr>
        <w:t>Creation</w:t>
      </w:r>
      <w:proofErr w:type="spellEnd"/>
      <w:r w:rsidRPr="00426E05">
        <w:rPr>
          <w:color w:val="000000"/>
          <w:sz w:val="20"/>
          <w:szCs w:val="20"/>
        </w:rPr>
        <w:t xml:space="preserve">: A </w:t>
      </w:r>
      <w:proofErr w:type="spellStart"/>
      <w:r w:rsidRPr="00426E05">
        <w:rPr>
          <w:color w:val="000000"/>
          <w:sz w:val="20"/>
          <w:szCs w:val="20"/>
        </w:rPr>
        <w:t>Review</w:t>
      </w:r>
      <w:proofErr w:type="spellEnd"/>
      <w:r w:rsidRPr="00426E05">
        <w:rPr>
          <w:color w:val="000000"/>
          <w:sz w:val="20"/>
          <w:szCs w:val="20"/>
        </w:rPr>
        <w:t xml:space="preserve"> </w:t>
      </w:r>
      <w:proofErr w:type="spellStart"/>
      <w:r w:rsidRPr="00426E05">
        <w:rPr>
          <w:color w:val="000000"/>
          <w:sz w:val="20"/>
          <w:szCs w:val="20"/>
        </w:rPr>
        <w:t>of</w:t>
      </w:r>
      <w:proofErr w:type="spellEnd"/>
      <w:r w:rsidRPr="00426E05">
        <w:rPr>
          <w:color w:val="000000"/>
          <w:sz w:val="20"/>
          <w:szCs w:val="20"/>
        </w:rPr>
        <w:t xml:space="preserve"> </w:t>
      </w:r>
      <w:proofErr w:type="spellStart"/>
      <w:r w:rsidRPr="00426E05">
        <w:rPr>
          <w:color w:val="000000"/>
          <w:sz w:val="20"/>
          <w:szCs w:val="20"/>
        </w:rPr>
        <w:t>Partnering</w:t>
      </w:r>
      <w:proofErr w:type="spellEnd"/>
      <w:r w:rsidRPr="00426E05">
        <w:rPr>
          <w:color w:val="000000"/>
          <w:sz w:val="20"/>
          <w:szCs w:val="20"/>
        </w:rPr>
        <w:t xml:space="preserve"> </w:t>
      </w:r>
      <w:proofErr w:type="spellStart"/>
      <w:r w:rsidRPr="00426E05">
        <w:rPr>
          <w:color w:val="000000"/>
          <w:sz w:val="20"/>
          <w:szCs w:val="20"/>
        </w:rPr>
        <w:t>Between</w:t>
      </w:r>
      <w:proofErr w:type="spellEnd"/>
      <w:r w:rsidRPr="00426E05">
        <w:rPr>
          <w:color w:val="000000"/>
          <w:sz w:val="20"/>
          <w:szCs w:val="20"/>
        </w:rPr>
        <w:t xml:space="preserve"> </w:t>
      </w:r>
      <w:proofErr w:type="spellStart"/>
      <w:r w:rsidRPr="00426E05">
        <w:rPr>
          <w:color w:val="000000"/>
          <w:sz w:val="20"/>
          <w:szCs w:val="20"/>
        </w:rPr>
        <w:t>Nonprofits</w:t>
      </w:r>
      <w:proofErr w:type="spellEnd"/>
      <w:r w:rsidRPr="00426E05">
        <w:rPr>
          <w:color w:val="000000"/>
          <w:sz w:val="20"/>
          <w:szCs w:val="20"/>
        </w:rPr>
        <w:t xml:space="preserve"> and </w:t>
      </w:r>
      <w:proofErr w:type="spellStart"/>
      <w:r w:rsidRPr="00426E05">
        <w:rPr>
          <w:color w:val="000000"/>
          <w:sz w:val="20"/>
          <w:szCs w:val="20"/>
        </w:rPr>
        <w:t>Businesses</w:t>
      </w:r>
      <w:proofErr w:type="spellEnd"/>
      <w:r w:rsidRPr="00426E05">
        <w:rPr>
          <w:color w:val="000000"/>
          <w:sz w:val="20"/>
          <w:szCs w:val="20"/>
        </w:rPr>
        <w:t xml:space="preserve">: Part I. </w:t>
      </w:r>
      <w:proofErr w:type="spellStart"/>
      <w:r w:rsidRPr="00426E05">
        <w:rPr>
          <w:color w:val="000000"/>
          <w:sz w:val="20"/>
          <w:szCs w:val="20"/>
        </w:rPr>
        <w:t>Value</w:t>
      </w:r>
      <w:proofErr w:type="spellEnd"/>
      <w:r w:rsidRPr="00426E05">
        <w:rPr>
          <w:color w:val="000000"/>
          <w:sz w:val="20"/>
          <w:szCs w:val="20"/>
        </w:rPr>
        <w:t xml:space="preserve"> </w:t>
      </w:r>
      <w:proofErr w:type="spellStart"/>
      <w:r w:rsidRPr="00426E05">
        <w:rPr>
          <w:color w:val="000000"/>
          <w:sz w:val="20"/>
          <w:szCs w:val="20"/>
        </w:rPr>
        <w:t>Creation</w:t>
      </w:r>
      <w:proofErr w:type="spellEnd"/>
      <w:r w:rsidRPr="00426E05">
        <w:rPr>
          <w:color w:val="000000"/>
          <w:sz w:val="20"/>
          <w:szCs w:val="20"/>
        </w:rPr>
        <w:t xml:space="preserve"> </w:t>
      </w:r>
      <w:proofErr w:type="spellStart"/>
      <w:r w:rsidRPr="00426E05">
        <w:rPr>
          <w:color w:val="000000"/>
          <w:sz w:val="20"/>
          <w:szCs w:val="20"/>
        </w:rPr>
        <w:t>Spectrum</w:t>
      </w:r>
      <w:proofErr w:type="spellEnd"/>
      <w:r w:rsidRPr="00426E05">
        <w:rPr>
          <w:color w:val="000000"/>
          <w:sz w:val="20"/>
          <w:szCs w:val="20"/>
        </w:rPr>
        <w:t xml:space="preserve"> and </w:t>
      </w:r>
      <w:proofErr w:type="spellStart"/>
      <w:r w:rsidRPr="00426E05">
        <w:rPr>
          <w:color w:val="000000"/>
          <w:sz w:val="20"/>
          <w:szCs w:val="20"/>
        </w:rPr>
        <w:t>Collaboration</w:t>
      </w:r>
      <w:proofErr w:type="spellEnd"/>
      <w:r w:rsidRPr="00426E05">
        <w:rPr>
          <w:color w:val="000000"/>
          <w:sz w:val="20"/>
          <w:szCs w:val="20"/>
        </w:rPr>
        <w:t xml:space="preserve"> </w:t>
      </w:r>
      <w:proofErr w:type="spellStart"/>
      <w:r w:rsidRPr="00426E05">
        <w:rPr>
          <w:color w:val="000000"/>
          <w:sz w:val="20"/>
          <w:szCs w:val="20"/>
        </w:rPr>
        <w:t>Stages</w:t>
      </w:r>
      <w:proofErr w:type="spellEnd"/>
      <w:r w:rsidRPr="00426E05">
        <w:rPr>
          <w:color w:val="000000"/>
          <w:sz w:val="20"/>
          <w:szCs w:val="20"/>
        </w:rPr>
        <w:t>. </w:t>
      </w:r>
      <w:proofErr w:type="spellStart"/>
      <w:r w:rsidRPr="00426E05">
        <w:rPr>
          <w:i/>
          <w:iCs/>
          <w:color w:val="000000"/>
          <w:sz w:val="20"/>
          <w:szCs w:val="20"/>
        </w:rPr>
        <w:t>Nonprofit</w:t>
      </w:r>
      <w:proofErr w:type="spellEnd"/>
      <w:r w:rsidRPr="00426E05">
        <w:rPr>
          <w:i/>
          <w:iCs/>
          <w:color w:val="000000"/>
          <w:sz w:val="20"/>
          <w:szCs w:val="20"/>
        </w:rPr>
        <w:t xml:space="preserve"> and </w:t>
      </w:r>
      <w:proofErr w:type="spellStart"/>
      <w:r w:rsidRPr="00426E05">
        <w:rPr>
          <w:i/>
          <w:iCs/>
          <w:color w:val="000000"/>
          <w:sz w:val="20"/>
          <w:szCs w:val="20"/>
        </w:rPr>
        <w:t>Voluntary</w:t>
      </w:r>
      <w:proofErr w:type="spellEnd"/>
      <w:r w:rsidRPr="00426E05">
        <w:rPr>
          <w:i/>
          <w:iCs/>
          <w:color w:val="000000"/>
          <w:sz w:val="20"/>
          <w:szCs w:val="20"/>
        </w:rPr>
        <w:t xml:space="preserve"> </w:t>
      </w:r>
      <w:proofErr w:type="spellStart"/>
      <w:r w:rsidRPr="00426E05">
        <w:rPr>
          <w:i/>
          <w:iCs/>
          <w:color w:val="000000"/>
          <w:sz w:val="20"/>
          <w:szCs w:val="20"/>
        </w:rPr>
        <w:t>Sector</w:t>
      </w:r>
      <w:proofErr w:type="spellEnd"/>
      <w:r w:rsidRPr="00426E05">
        <w:rPr>
          <w:i/>
          <w:iCs/>
          <w:color w:val="000000"/>
          <w:sz w:val="20"/>
          <w:szCs w:val="20"/>
        </w:rPr>
        <w:t xml:space="preserve"> </w:t>
      </w:r>
      <w:proofErr w:type="spellStart"/>
      <w:r w:rsidRPr="00426E05">
        <w:rPr>
          <w:i/>
          <w:iCs/>
          <w:color w:val="000000"/>
          <w:sz w:val="20"/>
          <w:szCs w:val="20"/>
        </w:rPr>
        <w:t>Quarterly</w:t>
      </w:r>
      <w:proofErr w:type="spellEnd"/>
      <w:r w:rsidRPr="00426E05">
        <w:rPr>
          <w:color w:val="000000"/>
          <w:sz w:val="20"/>
          <w:szCs w:val="20"/>
        </w:rPr>
        <w:t>, 41(5), pp.726–758.</w:t>
      </w:r>
    </w:p>
    <w:p w14:paraId="086D62F4"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Byiers</w:t>
      </w:r>
      <w:proofErr w:type="spellEnd"/>
      <w:r w:rsidRPr="00426E05">
        <w:rPr>
          <w:color w:val="000000"/>
          <w:sz w:val="20"/>
          <w:szCs w:val="20"/>
        </w:rPr>
        <w:t xml:space="preserve">, B., </w:t>
      </w:r>
      <w:proofErr w:type="spellStart"/>
      <w:r w:rsidRPr="00426E05">
        <w:rPr>
          <w:color w:val="000000"/>
          <w:sz w:val="20"/>
          <w:szCs w:val="20"/>
        </w:rPr>
        <w:t>Guadagno</w:t>
      </w:r>
      <w:proofErr w:type="spellEnd"/>
      <w:r w:rsidRPr="00426E05">
        <w:rPr>
          <w:color w:val="000000"/>
          <w:sz w:val="20"/>
          <w:szCs w:val="20"/>
        </w:rPr>
        <w:t xml:space="preserve">, F. and </w:t>
      </w:r>
      <w:proofErr w:type="spellStart"/>
      <w:r w:rsidRPr="00426E05">
        <w:rPr>
          <w:color w:val="000000"/>
          <w:sz w:val="20"/>
          <w:szCs w:val="20"/>
        </w:rPr>
        <w:t>Karaki</w:t>
      </w:r>
      <w:proofErr w:type="spellEnd"/>
      <w:r w:rsidRPr="00426E05">
        <w:rPr>
          <w:color w:val="000000"/>
          <w:sz w:val="20"/>
          <w:szCs w:val="20"/>
        </w:rPr>
        <w:t>, K. (2015). </w:t>
      </w:r>
      <w:proofErr w:type="spellStart"/>
      <w:r w:rsidRPr="00426E05">
        <w:rPr>
          <w:i/>
          <w:iCs/>
          <w:color w:val="000000"/>
          <w:sz w:val="20"/>
          <w:szCs w:val="20"/>
        </w:rPr>
        <w:t>From</w:t>
      </w:r>
      <w:proofErr w:type="spellEnd"/>
      <w:r w:rsidRPr="00426E05">
        <w:rPr>
          <w:i/>
          <w:iCs/>
          <w:color w:val="000000"/>
          <w:sz w:val="20"/>
          <w:szCs w:val="20"/>
        </w:rPr>
        <w:t xml:space="preserve"> </w:t>
      </w:r>
      <w:proofErr w:type="spellStart"/>
      <w:r w:rsidRPr="00426E05">
        <w:rPr>
          <w:i/>
          <w:iCs/>
          <w:color w:val="000000"/>
          <w:sz w:val="20"/>
          <w:szCs w:val="20"/>
        </w:rPr>
        <w:t>Looking</w:t>
      </w:r>
      <w:proofErr w:type="spellEnd"/>
      <w:r w:rsidRPr="00426E05">
        <w:rPr>
          <w:i/>
          <w:iCs/>
          <w:color w:val="000000"/>
          <w:sz w:val="20"/>
          <w:szCs w:val="20"/>
        </w:rPr>
        <w:t xml:space="preserve"> </w:t>
      </w:r>
      <w:proofErr w:type="spellStart"/>
      <w:r w:rsidRPr="00426E05">
        <w:rPr>
          <w:i/>
          <w:iCs/>
          <w:color w:val="000000"/>
          <w:sz w:val="20"/>
          <w:szCs w:val="20"/>
        </w:rPr>
        <w:t>Good</w:t>
      </w:r>
      <w:proofErr w:type="spellEnd"/>
      <w:r w:rsidRPr="00426E05">
        <w:rPr>
          <w:i/>
          <w:iCs/>
          <w:color w:val="000000"/>
          <w:sz w:val="20"/>
          <w:szCs w:val="20"/>
        </w:rPr>
        <w:t xml:space="preserve"> to </w:t>
      </w:r>
      <w:proofErr w:type="spellStart"/>
      <w:r w:rsidRPr="00426E05">
        <w:rPr>
          <w:i/>
          <w:iCs/>
          <w:color w:val="000000"/>
          <w:sz w:val="20"/>
          <w:szCs w:val="20"/>
        </w:rPr>
        <w:t>Doing</w:t>
      </w:r>
      <w:proofErr w:type="spellEnd"/>
      <w:r w:rsidRPr="00426E05">
        <w:rPr>
          <w:i/>
          <w:iCs/>
          <w:color w:val="000000"/>
          <w:sz w:val="20"/>
          <w:szCs w:val="20"/>
        </w:rPr>
        <w:t xml:space="preserve"> </w:t>
      </w:r>
      <w:proofErr w:type="spellStart"/>
      <w:r w:rsidRPr="00426E05">
        <w:rPr>
          <w:i/>
          <w:iCs/>
          <w:color w:val="000000"/>
          <w:sz w:val="20"/>
          <w:szCs w:val="20"/>
        </w:rPr>
        <w:t>Good</w:t>
      </w:r>
      <w:proofErr w:type="spellEnd"/>
      <w:r w:rsidRPr="00426E05">
        <w:rPr>
          <w:i/>
          <w:iCs/>
          <w:color w:val="000000"/>
          <w:sz w:val="20"/>
          <w:szCs w:val="20"/>
        </w:rPr>
        <w:t xml:space="preserve">: </w:t>
      </w:r>
      <w:proofErr w:type="spellStart"/>
      <w:r w:rsidRPr="00426E05">
        <w:rPr>
          <w:i/>
          <w:iCs/>
          <w:color w:val="000000"/>
          <w:sz w:val="20"/>
          <w:szCs w:val="20"/>
        </w:rPr>
        <w:t>Mapping</w:t>
      </w:r>
      <w:proofErr w:type="spellEnd"/>
      <w:r w:rsidRPr="00426E05">
        <w:rPr>
          <w:i/>
          <w:iCs/>
          <w:color w:val="000000"/>
          <w:sz w:val="20"/>
          <w:szCs w:val="20"/>
        </w:rPr>
        <w:t xml:space="preserve"> CSO-Business </w:t>
      </w:r>
      <w:proofErr w:type="spellStart"/>
      <w:r w:rsidRPr="00426E05">
        <w:rPr>
          <w:i/>
          <w:iCs/>
          <w:color w:val="000000"/>
          <w:sz w:val="20"/>
          <w:szCs w:val="20"/>
        </w:rPr>
        <w:t>Partnerships</w:t>
      </w:r>
      <w:proofErr w:type="spellEnd"/>
      <w:r w:rsidRPr="00426E05">
        <w:rPr>
          <w:color w:val="000000"/>
          <w:sz w:val="20"/>
          <w:szCs w:val="20"/>
        </w:rPr>
        <w:t xml:space="preserve">. [online] </w:t>
      </w:r>
      <w:proofErr w:type="spellStart"/>
      <w:r w:rsidRPr="00426E05">
        <w:rPr>
          <w:color w:val="000000"/>
          <w:sz w:val="20"/>
          <w:szCs w:val="20"/>
        </w:rPr>
        <w:t>European</w:t>
      </w:r>
      <w:proofErr w:type="spellEnd"/>
      <w:r w:rsidRPr="00426E05">
        <w:rPr>
          <w:color w:val="000000"/>
          <w:sz w:val="20"/>
          <w:szCs w:val="20"/>
        </w:rPr>
        <w:t xml:space="preserve"> Centre </w:t>
      </w:r>
      <w:proofErr w:type="spellStart"/>
      <w:r w:rsidRPr="00426E05">
        <w:rPr>
          <w:color w:val="000000"/>
          <w:sz w:val="20"/>
          <w:szCs w:val="20"/>
        </w:rPr>
        <w:t>for</w:t>
      </w:r>
      <w:proofErr w:type="spellEnd"/>
      <w:r w:rsidRPr="00426E05">
        <w:rPr>
          <w:color w:val="000000"/>
          <w:sz w:val="20"/>
          <w:szCs w:val="20"/>
        </w:rPr>
        <w:t xml:space="preserve"> Development </w:t>
      </w:r>
      <w:proofErr w:type="spellStart"/>
      <w:r w:rsidRPr="00426E05">
        <w:rPr>
          <w:color w:val="000000"/>
          <w:sz w:val="20"/>
          <w:szCs w:val="20"/>
        </w:rPr>
        <w:t>Policy</w:t>
      </w:r>
      <w:proofErr w:type="spellEnd"/>
      <w:r w:rsidRPr="00426E05">
        <w:rPr>
          <w:color w:val="000000"/>
          <w:sz w:val="20"/>
          <w:szCs w:val="20"/>
        </w:rPr>
        <w:t xml:space="preserve"> Management.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2" w:history="1">
        <w:r w:rsidRPr="00426E05">
          <w:rPr>
            <w:rStyle w:val="Hypertextovodkaz"/>
            <w:sz w:val="20"/>
            <w:szCs w:val="20"/>
          </w:rPr>
          <w:t>https://ecdpm.org/wp-content/uploads/DP-182-Mapping-CSO-Business-Partnerships-ECDPM-2015.pdf</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16 Jun. 2021].</w:t>
      </w:r>
    </w:p>
    <w:p w14:paraId="6779EB9A"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Dahan</w:t>
      </w:r>
      <w:proofErr w:type="spellEnd"/>
      <w:r w:rsidRPr="00426E05">
        <w:rPr>
          <w:color w:val="000000"/>
          <w:sz w:val="20"/>
          <w:szCs w:val="20"/>
        </w:rPr>
        <w:t xml:space="preserve">, N.M., Doh, J.P., </w:t>
      </w:r>
      <w:proofErr w:type="spellStart"/>
      <w:r w:rsidRPr="00426E05">
        <w:rPr>
          <w:color w:val="000000"/>
          <w:sz w:val="20"/>
          <w:szCs w:val="20"/>
        </w:rPr>
        <w:t>Oetzel</w:t>
      </w:r>
      <w:proofErr w:type="spellEnd"/>
      <w:r w:rsidRPr="00426E05">
        <w:rPr>
          <w:color w:val="000000"/>
          <w:sz w:val="20"/>
          <w:szCs w:val="20"/>
        </w:rPr>
        <w:t xml:space="preserve">, J. and </w:t>
      </w:r>
      <w:proofErr w:type="spellStart"/>
      <w:r w:rsidRPr="00426E05">
        <w:rPr>
          <w:color w:val="000000"/>
          <w:sz w:val="20"/>
          <w:szCs w:val="20"/>
        </w:rPr>
        <w:t>Yaziji</w:t>
      </w:r>
      <w:proofErr w:type="spellEnd"/>
      <w:r w:rsidRPr="00426E05">
        <w:rPr>
          <w:color w:val="000000"/>
          <w:sz w:val="20"/>
          <w:szCs w:val="20"/>
        </w:rPr>
        <w:t xml:space="preserve">, M. (2010). </w:t>
      </w:r>
      <w:proofErr w:type="spellStart"/>
      <w:r w:rsidRPr="00426E05">
        <w:rPr>
          <w:color w:val="000000"/>
          <w:sz w:val="20"/>
          <w:szCs w:val="20"/>
        </w:rPr>
        <w:t>Corporate</w:t>
      </w:r>
      <w:proofErr w:type="spellEnd"/>
      <w:r w:rsidRPr="00426E05">
        <w:rPr>
          <w:color w:val="000000"/>
          <w:sz w:val="20"/>
          <w:szCs w:val="20"/>
        </w:rPr>
        <w:t xml:space="preserve">-NGO </w:t>
      </w:r>
      <w:proofErr w:type="spellStart"/>
      <w:r w:rsidRPr="00426E05">
        <w:rPr>
          <w:color w:val="000000"/>
          <w:sz w:val="20"/>
          <w:szCs w:val="20"/>
        </w:rPr>
        <w:t>Collaboration</w:t>
      </w:r>
      <w:proofErr w:type="spellEnd"/>
      <w:r w:rsidRPr="00426E05">
        <w:rPr>
          <w:color w:val="000000"/>
          <w:sz w:val="20"/>
          <w:szCs w:val="20"/>
        </w:rPr>
        <w:t>: Co-</w:t>
      </w:r>
      <w:proofErr w:type="spellStart"/>
      <w:r w:rsidRPr="00426E05">
        <w:rPr>
          <w:color w:val="000000"/>
          <w:sz w:val="20"/>
          <w:szCs w:val="20"/>
        </w:rPr>
        <w:t>creating</w:t>
      </w:r>
      <w:proofErr w:type="spellEnd"/>
      <w:r w:rsidRPr="00426E05">
        <w:rPr>
          <w:color w:val="000000"/>
          <w:sz w:val="20"/>
          <w:szCs w:val="20"/>
        </w:rPr>
        <w:t xml:space="preserve"> New Business </w:t>
      </w:r>
      <w:proofErr w:type="spellStart"/>
      <w:r w:rsidRPr="00426E05">
        <w:rPr>
          <w:color w:val="000000"/>
          <w:sz w:val="20"/>
          <w:szCs w:val="20"/>
        </w:rPr>
        <w:t>Models</w:t>
      </w:r>
      <w:proofErr w:type="spellEnd"/>
      <w:r w:rsidRPr="00426E05">
        <w:rPr>
          <w:color w:val="000000"/>
          <w:sz w:val="20"/>
          <w:szCs w:val="20"/>
        </w:rPr>
        <w:t xml:space="preserve"> </w:t>
      </w:r>
      <w:proofErr w:type="spellStart"/>
      <w:r w:rsidRPr="00426E05">
        <w:rPr>
          <w:color w:val="000000"/>
          <w:sz w:val="20"/>
          <w:szCs w:val="20"/>
        </w:rPr>
        <w:t>for</w:t>
      </w:r>
      <w:proofErr w:type="spellEnd"/>
      <w:r w:rsidRPr="00426E05">
        <w:rPr>
          <w:color w:val="000000"/>
          <w:sz w:val="20"/>
          <w:szCs w:val="20"/>
        </w:rPr>
        <w:t xml:space="preserve"> </w:t>
      </w:r>
      <w:proofErr w:type="spellStart"/>
      <w:r w:rsidRPr="00426E05">
        <w:rPr>
          <w:color w:val="000000"/>
          <w:sz w:val="20"/>
          <w:szCs w:val="20"/>
        </w:rPr>
        <w:t>Developing</w:t>
      </w:r>
      <w:proofErr w:type="spellEnd"/>
      <w:r w:rsidRPr="00426E05">
        <w:rPr>
          <w:color w:val="000000"/>
          <w:sz w:val="20"/>
          <w:szCs w:val="20"/>
        </w:rPr>
        <w:t xml:space="preserve"> </w:t>
      </w:r>
      <w:proofErr w:type="spellStart"/>
      <w:r w:rsidRPr="00426E05">
        <w:rPr>
          <w:color w:val="000000"/>
          <w:sz w:val="20"/>
          <w:szCs w:val="20"/>
        </w:rPr>
        <w:t>Markets</w:t>
      </w:r>
      <w:proofErr w:type="spellEnd"/>
      <w:r w:rsidRPr="00426E05">
        <w:rPr>
          <w:color w:val="000000"/>
          <w:sz w:val="20"/>
          <w:szCs w:val="20"/>
        </w:rPr>
        <w:t>. </w:t>
      </w:r>
      <w:r w:rsidRPr="00426E05">
        <w:rPr>
          <w:i/>
          <w:iCs/>
          <w:color w:val="000000"/>
          <w:sz w:val="20"/>
          <w:szCs w:val="20"/>
        </w:rPr>
        <w:t xml:space="preserve">Long </w:t>
      </w:r>
      <w:proofErr w:type="spellStart"/>
      <w:r w:rsidRPr="00426E05">
        <w:rPr>
          <w:i/>
          <w:iCs/>
          <w:color w:val="000000"/>
          <w:sz w:val="20"/>
          <w:szCs w:val="20"/>
        </w:rPr>
        <w:t>Range</w:t>
      </w:r>
      <w:proofErr w:type="spellEnd"/>
      <w:r w:rsidRPr="00426E05">
        <w:rPr>
          <w:i/>
          <w:iCs/>
          <w:color w:val="000000"/>
          <w:sz w:val="20"/>
          <w:szCs w:val="20"/>
        </w:rPr>
        <w:t xml:space="preserve"> </w:t>
      </w:r>
      <w:proofErr w:type="spellStart"/>
      <w:r w:rsidRPr="00426E05">
        <w:rPr>
          <w:i/>
          <w:iCs/>
          <w:color w:val="000000"/>
          <w:sz w:val="20"/>
          <w:szCs w:val="20"/>
        </w:rPr>
        <w:t>Planning</w:t>
      </w:r>
      <w:proofErr w:type="spellEnd"/>
      <w:r w:rsidRPr="00426E05">
        <w:rPr>
          <w:color w:val="000000"/>
          <w:sz w:val="20"/>
          <w:szCs w:val="20"/>
        </w:rPr>
        <w:t xml:space="preserve">, [online] 43(2-3), pp.326–342.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3" w:history="1">
        <w:r w:rsidRPr="00426E05">
          <w:rPr>
            <w:rStyle w:val="Hypertextovodkaz"/>
            <w:sz w:val="20"/>
            <w:szCs w:val="20"/>
          </w:rPr>
          <w:t>http://www.bmcommunity.sitew.com/fs/root/8jqh4-corporate_ngo.pdf</w:t>
        </w:r>
      </w:hyperlink>
      <w:r w:rsidRPr="00426E05">
        <w:rPr>
          <w:color w:val="000000"/>
          <w:sz w:val="20"/>
          <w:szCs w:val="20"/>
        </w:rPr>
        <w:t xml:space="preserve"> </w:t>
      </w:r>
    </w:p>
    <w:p w14:paraId="4B505F4B" w14:textId="0A4E6790" w:rsidR="00426E05" w:rsidRDefault="00426E05" w:rsidP="00426E05">
      <w:pPr>
        <w:shd w:val="clear" w:color="auto" w:fill="FFFFFF"/>
        <w:spacing w:before="80" w:after="80"/>
        <w:rPr>
          <w:color w:val="000000"/>
          <w:sz w:val="20"/>
          <w:szCs w:val="20"/>
        </w:rPr>
      </w:pPr>
      <w:proofErr w:type="spellStart"/>
      <w:r w:rsidRPr="00426E05">
        <w:rPr>
          <w:color w:val="000000"/>
          <w:sz w:val="20"/>
          <w:szCs w:val="20"/>
        </w:rPr>
        <w:t>Finnfund</w:t>
      </w:r>
      <w:proofErr w:type="spellEnd"/>
      <w:r w:rsidRPr="00426E05">
        <w:rPr>
          <w:color w:val="000000"/>
          <w:sz w:val="20"/>
          <w:szCs w:val="20"/>
        </w:rPr>
        <w:t xml:space="preserve"> (2020). </w:t>
      </w:r>
      <w:proofErr w:type="spellStart"/>
      <w:r w:rsidRPr="00426E05">
        <w:rPr>
          <w:i/>
          <w:iCs/>
          <w:color w:val="000000"/>
          <w:sz w:val="20"/>
          <w:szCs w:val="20"/>
        </w:rPr>
        <w:t>Finnpartnership</w:t>
      </w:r>
      <w:proofErr w:type="spellEnd"/>
      <w:r w:rsidRPr="00426E05">
        <w:rPr>
          <w:color w:val="000000"/>
          <w:sz w:val="20"/>
          <w:szCs w:val="20"/>
        </w:rPr>
        <w:t xml:space="preserve">. [online]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4" w:history="1">
        <w:r w:rsidRPr="00426E05">
          <w:rPr>
            <w:rStyle w:val="Hypertextovodkaz"/>
            <w:sz w:val="20"/>
            <w:szCs w:val="20"/>
          </w:rPr>
          <w:t>https://finnpartnership.fi/en/frontpage/</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17 Jun. 2021].</w:t>
      </w:r>
    </w:p>
    <w:p w14:paraId="7CE7A48C" w14:textId="6DF32390" w:rsidR="00FA5383" w:rsidRPr="00426E05" w:rsidRDefault="00FA5383" w:rsidP="00426E05">
      <w:pPr>
        <w:shd w:val="clear" w:color="auto" w:fill="FFFFFF"/>
        <w:spacing w:before="80" w:after="80"/>
        <w:rPr>
          <w:color w:val="000000"/>
          <w:sz w:val="20"/>
          <w:szCs w:val="20"/>
        </w:rPr>
      </w:pPr>
      <w:proofErr w:type="spellStart"/>
      <w:r w:rsidRPr="00FA5383">
        <w:rPr>
          <w:color w:val="000000"/>
          <w:sz w:val="20"/>
          <w:szCs w:val="20"/>
        </w:rPr>
        <w:t>Hilson</w:t>
      </w:r>
      <w:proofErr w:type="spellEnd"/>
      <w:r w:rsidRPr="00FA5383">
        <w:rPr>
          <w:color w:val="000000"/>
          <w:sz w:val="20"/>
          <w:szCs w:val="20"/>
        </w:rPr>
        <w:t xml:space="preserve">, G. (2012). </w:t>
      </w:r>
      <w:proofErr w:type="spellStart"/>
      <w:r w:rsidRPr="000A0086">
        <w:rPr>
          <w:color w:val="000000"/>
          <w:sz w:val="20"/>
          <w:szCs w:val="20"/>
        </w:rPr>
        <w:t>Corporate</w:t>
      </w:r>
      <w:proofErr w:type="spellEnd"/>
      <w:r w:rsidRPr="000A0086">
        <w:rPr>
          <w:color w:val="000000"/>
          <w:sz w:val="20"/>
          <w:szCs w:val="20"/>
        </w:rPr>
        <w:t xml:space="preserve"> </w:t>
      </w:r>
      <w:proofErr w:type="spellStart"/>
      <w:r w:rsidRPr="000A0086">
        <w:rPr>
          <w:color w:val="000000"/>
          <w:sz w:val="20"/>
          <w:szCs w:val="20"/>
        </w:rPr>
        <w:t>Social</w:t>
      </w:r>
      <w:proofErr w:type="spellEnd"/>
      <w:r w:rsidRPr="000A0086">
        <w:rPr>
          <w:color w:val="000000"/>
          <w:sz w:val="20"/>
          <w:szCs w:val="20"/>
        </w:rPr>
        <w:t xml:space="preserve"> </w:t>
      </w:r>
      <w:proofErr w:type="spellStart"/>
      <w:r w:rsidRPr="000A0086">
        <w:rPr>
          <w:color w:val="000000"/>
          <w:sz w:val="20"/>
          <w:szCs w:val="20"/>
        </w:rPr>
        <w:t>Responsibility</w:t>
      </w:r>
      <w:proofErr w:type="spellEnd"/>
      <w:r w:rsidRPr="000A0086">
        <w:rPr>
          <w:color w:val="000000"/>
          <w:sz w:val="20"/>
          <w:szCs w:val="20"/>
        </w:rPr>
        <w:t xml:space="preserve"> in </w:t>
      </w:r>
      <w:proofErr w:type="spellStart"/>
      <w:r w:rsidRPr="000A0086">
        <w:rPr>
          <w:color w:val="000000"/>
          <w:sz w:val="20"/>
          <w:szCs w:val="20"/>
        </w:rPr>
        <w:t>the</w:t>
      </w:r>
      <w:proofErr w:type="spellEnd"/>
      <w:r w:rsidRPr="000A0086">
        <w:rPr>
          <w:color w:val="000000"/>
          <w:sz w:val="20"/>
          <w:szCs w:val="20"/>
        </w:rPr>
        <w:t xml:space="preserve"> </w:t>
      </w:r>
      <w:proofErr w:type="spellStart"/>
      <w:r w:rsidRPr="000A0086">
        <w:rPr>
          <w:color w:val="000000"/>
          <w:sz w:val="20"/>
          <w:szCs w:val="20"/>
        </w:rPr>
        <w:t>extractive</w:t>
      </w:r>
      <w:proofErr w:type="spellEnd"/>
      <w:r w:rsidRPr="000A0086">
        <w:rPr>
          <w:color w:val="000000"/>
          <w:sz w:val="20"/>
          <w:szCs w:val="20"/>
        </w:rPr>
        <w:t xml:space="preserve"> </w:t>
      </w:r>
      <w:proofErr w:type="spellStart"/>
      <w:r w:rsidRPr="000A0086">
        <w:rPr>
          <w:color w:val="000000"/>
          <w:sz w:val="20"/>
          <w:szCs w:val="20"/>
        </w:rPr>
        <w:t>industries</w:t>
      </w:r>
      <w:proofErr w:type="spellEnd"/>
      <w:r w:rsidRPr="000A0086">
        <w:rPr>
          <w:color w:val="000000"/>
          <w:sz w:val="20"/>
          <w:szCs w:val="20"/>
        </w:rPr>
        <w:t xml:space="preserve">: </w:t>
      </w:r>
      <w:proofErr w:type="spellStart"/>
      <w:r w:rsidRPr="000A0086">
        <w:rPr>
          <w:color w:val="000000"/>
          <w:sz w:val="20"/>
          <w:szCs w:val="20"/>
        </w:rPr>
        <w:t>Experiences</w:t>
      </w:r>
      <w:proofErr w:type="spellEnd"/>
      <w:r w:rsidRPr="000A0086">
        <w:rPr>
          <w:color w:val="000000"/>
          <w:sz w:val="20"/>
          <w:szCs w:val="20"/>
        </w:rPr>
        <w:t xml:space="preserve"> </w:t>
      </w:r>
      <w:proofErr w:type="spellStart"/>
      <w:r w:rsidRPr="000A0086">
        <w:rPr>
          <w:color w:val="000000"/>
          <w:sz w:val="20"/>
          <w:szCs w:val="20"/>
        </w:rPr>
        <w:t>from</w:t>
      </w:r>
      <w:proofErr w:type="spellEnd"/>
      <w:r w:rsidRPr="000A0086">
        <w:rPr>
          <w:color w:val="000000"/>
          <w:sz w:val="20"/>
          <w:szCs w:val="20"/>
        </w:rPr>
        <w:t xml:space="preserve"> </w:t>
      </w:r>
      <w:proofErr w:type="spellStart"/>
      <w:r w:rsidRPr="000A0086">
        <w:rPr>
          <w:color w:val="000000"/>
          <w:sz w:val="20"/>
          <w:szCs w:val="20"/>
        </w:rPr>
        <w:t>developing</w:t>
      </w:r>
      <w:proofErr w:type="spellEnd"/>
      <w:r w:rsidRPr="000A0086">
        <w:rPr>
          <w:color w:val="000000"/>
          <w:sz w:val="20"/>
          <w:szCs w:val="20"/>
        </w:rPr>
        <w:t xml:space="preserve"> </w:t>
      </w:r>
      <w:proofErr w:type="spellStart"/>
      <w:r w:rsidRPr="000A0086">
        <w:rPr>
          <w:color w:val="000000"/>
          <w:sz w:val="20"/>
          <w:szCs w:val="20"/>
        </w:rPr>
        <w:t>countries</w:t>
      </w:r>
      <w:proofErr w:type="spellEnd"/>
      <w:r w:rsidRPr="000A0086">
        <w:rPr>
          <w:color w:val="000000"/>
          <w:sz w:val="20"/>
          <w:szCs w:val="20"/>
        </w:rPr>
        <w:t>. </w:t>
      </w:r>
      <w:proofErr w:type="spellStart"/>
      <w:r w:rsidRPr="000A0086">
        <w:rPr>
          <w:color w:val="000000"/>
          <w:sz w:val="20"/>
          <w:szCs w:val="20"/>
        </w:rPr>
        <w:t>Res</w:t>
      </w:r>
      <w:r w:rsidRPr="00FA5383">
        <w:rPr>
          <w:color w:val="000000"/>
          <w:sz w:val="20"/>
          <w:szCs w:val="20"/>
        </w:rPr>
        <w:t>ources</w:t>
      </w:r>
      <w:proofErr w:type="spellEnd"/>
      <w:r w:rsidRPr="00FA5383">
        <w:rPr>
          <w:color w:val="000000"/>
          <w:sz w:val="20"/>
          <w:szCs w:val="20"/>
        </w:rPr>
        <w:t xml:space="preserve"> </w:t>
      </w:r>
      <w:proofErr w:type="spellStart"/>
      <w:r w:rsidRPr="00FA5383">
        <w:rPr>
          <w:color w:val="000000"/>
          <w:sz w:val="20"/>
          <w:szCs w:val="20"/>
        </w:rPr>
        <w:t>Policy</w:t>
      </w:r>
      <w:proofErr w:type="spellEnd"/>
      <w:r w:rsidRPr="00FA5383">
        <w:rPr>
          <w:color w:val="000000"/>
          <w:sz w:val="20"/>
          <w:szCs w:val="20"/>
        </w:rPr>
        <w:t>, 37(2), pp.131–137.</w:t>
      </w:r>
    </w:p>
    <w:p w14:paraId="65648CBF"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Karaki</w:t>
      </w:r>
      <w:proofErr w:type="spellEnd"/>
      <w:r w:rsidRPr="00426E05">
        <w:rPr>
          <w:color w:val="000000"/>
          <w:sz w:val="20"/>
          <w:szCs w:val="20"/>
        </w:rPr>
        <w:t xml:space="preserve">, K. and </w:t>
      </w:r>
      <w:proofErr w:type="spellStart"/>
      <w:r w:rsidRPr="00426E05">
        <w:rPr>
          <w:color w:val="000000"/>
          <w:sz w:val="20"/>
          <w:szCs w:val="20"/>
        </w:rPr>
        <w:t>Medinilla</w:t>
      </w:r>
      <w:proofErr w:type="spellEnd"/>
      <w:r w:rsidRPr="00426E05">
        <w:rPr>
          <w:color w:val="000000"/>
          <w:sz w:val="20"/>
          <w:szCs w:val="20"/>
        </w:rPr>
        <w:t>, A. (2016). </w:t>
      </w:r>
      <w:r w:rsidRPr="00426E05">
        <w:rPr>
          <w:i/>
          <w:iCs/>
          <w:color w:val="000000"/>
          <w:sz w:val="20"/>
          <w:szCs w:val="20"/>
        </w:rPr>
        <w:t xml:space="preserve">Donor </w:t>
      </w:r>
      <w:proofErr w:type="spellStart"/>
      <w:r w:rsidRPr="00426E05">
        <w:rPr>
          <w:i/>
          <w:iCs/>
          <w:color w:val="000000"/>
          <w:sz w:val="20"/>
          <w:szCs w:val="20"/>
        </w:rPr>
        <w:t>Agencies</w:t>
      </w:r>
      <w:proofErr w:type="spellEnd"/>
      <w:r w:rsidRPr="00426E05">
        <w:rPr>
          <w:i/>
          <w:iCs/>
          <w:color w:val="000000"/>
          <w:sz w:val="20"/>
          <w:szCs w:val="20"/>
        </w:rPr>
        <w:t xml:space="preserve"> and </w:t>
      </w:r>
      <w:proofErr w:type="spellStart"/>
      <w:r w:rsidRPr="00426E05">
        <w:rPr>
          <w:i/>
          <w:iCs/>
          <w:color w:val="000000"/>
          <w:sz w:val="20"/>
          <w:szCs w:val="20"/>
        </w:rPr>
        <w:t>Multi</w:t>
      </w:r>
      <w:proofErr w:type="spellEnd"/>
      <w:r w:rsidRPr="00426E05">
        <w:rPr>
          <w:i/>
          <w:iCs/>
          <w:color w:val="000000"/>
          <w:sz w:val="20"/>
          <w:szCs w:val="20"/>
        </w:rPr>
        <w:t xml:space="preserve">-stakeholder </w:t>
      </w:r>
      <w:proofErr w:type="spellStart"/>
      <w:r w:rsidRPr="00426E05">
        <w:rPr>
          <w:i/>
          <w:iCs/>
          <w:color w:val="000000"/>
          <w:sz w:val="20"/>
          <w:szCs w:val="20"/>
        </w:rPr>
        <w:t>Partnerships</w:t>
      </w:r>
      <w:proofErr w:type="spellEnd"/>
      <w:r w:rsidRPr="00426E05">
        <w:rPr>
          <w:i/>
          <w:iCs/>
          <w:color w:val="000000"/>
          <w:sz w:val="20"/>
          <w:szCs w:val="20"/>
        </w:rPr>
        <w:t xml:space="preserve">: </w:t>
      </w:r>
      <w:proofErr w:type="spellStart"/>
      <w:r w:rsidRPr="00426E05">
        <w:rPr>
          <w:i/>
          <w:iCs/>
          <w:color w:val="000000"/>
          <w:sz w:val="20"/>
          <w:szCs w:val="20"/>
        </w:rPr>
        <w:t>Harnessing</w:t>
      </w:r>
      <w:proofErr w:type="spellEnd"/>
      <w:r w:rsidRPr="00426E05">
        <w:rPr>
          <w:i/>
          <w:iCs/>
          <w:color w:val="000000"/>
          <w:sz w:val="20"/>
          <w:szCs w:val="20"/>
        </w:rPr>
        <w:t xml:space="preserve"> </w:t>
      </w:r>
      <w:proofErr w:type="spellStart"/>
      <w:r w:rsidRPr="00426E05">
        <w:rPr>
          <w:i/>
          <w:iCs/>
          <w:color w:val="000000"/>
          <w:sz w:val="20"/>
          <w:szCs w:val="20"/>
        </w:rPr>
        <w:t>Interests</w:t>
      </w:r>
      <w:proofErr w:type="spellEnd"/>
      <w:r w:rsidRPr="00426E05">
        <w:rPr>
          <w:i/>
          <w:iCs/>
          <w:color w:val="000000"/>
          <w:sz w:val="20"/>
          <w:szCs w:val="20"/>
        </w:rPr>
        <w:t xml:space="preserve"> </w:t>
      </w:r>
      <w:proofErr w:type="spellStart"/>
      <w:r w:rsidRPr="00426E05">
        <w:rPr>
          <w:i/>
          <w:iCs/>
          <w:color w:val="000000"/>
          <w:sz w:val="20"/>
          <w:szCs w:val="20"/>
        </w:rPr>
        <w:t>or</w:t>
      </w:r>
      <w:proofErr w:type="spellEnd"/>
      <w:r w:rsidRPr="00426E05">
        <w:rPr>
          <w:i/>
          <w:iCs/>
          <w:color w:val="000000"/>
          <w:sz w:val="20"/>
          <w:szCs w:val="20"/>
        </w:rPr>
        <w:t xml:space="preserve"> </w:t>
      </w:r>
      <w:proofErr w:type="spellStart"/>
      <w:r w:rsidRPr="00426E05">
        <w:rPr>
          <w:i/>
          <w:iCs/>
          <w:color w:val="000000"/>
          <w:sz w:val="20"/>
          <w:szCs w:val="20"/>
        </w:rPr>
        <w:t>Herding</w:t>
      </w:r>
      <w:proofErr w:type="spellEnd"/>
      <w:r w:rsidRPr="00426E05">
        <w:rPr>
          <w:i/>
          <w:iCs/>
          <w:color w:val="000000"/>
          <w:sz w:val="20"/>
          <w:szCs w:val="20"/>
        </w:rPr>
        <w:t xml:space="preserve"> </w:t>
      </w:r>
      <w:proofErr w:type="spellStart"/>
      <w:r w:rsidRPr="00426E05">
        <w:rPr>
          <w:i/>
          <w:iCs/>
          <w:color w:val="000000"/>
          <w:sz w:val="20"/>
          <w:szCs w:val="20"/>
        </w:rPr>
        <w:t>Cats</w:t>
      </w:r>
      <w:proofErr w:type="spellEnd"/>
      <w:r w:rsidRPr="00426E05">
        <w:rPr>
          <w:i/>
          <w:iCs/>
          <w:color w:val="000000"/>
          <w:sz w:val="20"/>
          <w:szCs w:val="20"/>
        </w:rPr>
        <w:t>?</w:t>
      </w:r>
      <w:r w:rsidRPr="00426E05">
        <w:rPr>
          <w:color w:val="000000"/>
          <w:sz w:val="20"/>
          <w:szCs w:val="20"/>
        </w:rPr>
        <w:t xml:space="preserve"> [online] </w:t>
      </w:r>
      <w:proofErr w:type="spellStart"/>
      <w:r w:rsidRPr="00426E05">
        <w:rPr>
          <w:color w:val="000000"/>
          <w:sz w:val="20"/>
          <w:szCs w:val="20"/>
        </w:rPr>
        <w:t>European</w:t>
      </w:r>
      <w:proofErr w:type="spellEnd"/>
      <w:r w:rsidRPr="00426E05">
        <w:rPr>
          <w:color w:val="000000"/>
          <w:sz w:val="20"/>
          <w:szCs w:val="20"/>
        </w:rPr>
        <w:t xml:space="preserve"> Centre </w:t>
      </w:r>
      <w:proofErr w:type="spellStart"/>
      <w:r w:rsidRPr="00426E05">
        <w:rPr>
          <w:color w:val="000000"/>
          <w:sz w:val="20"/>
          <w:szCs w:val="20"/>
        </w:rPr>
        <w:t>for</w:t>
      </w:r>
      <w:proofErr w:type="spellEnd"/>
      <w:r w:rsidRPr="00426E05">
        <w:rPr>
          <w:color w:val="000000"/>
          <w:sz w:val="20"/>
          <w:szCs w:val="20"/>
        </w:rPr>
        <w:t xml:space="preserve"> Development </w:t>
      </w:r>
      <w:proofErr w:type="spellStart"/>
      <w:r w:rsidRPr="00426E05">
        <w:rPr>
          <w:color w:val="000000"/>
          <w:sz w:val="20"/>
          <w:szCs w:val="20"/>
        </w:rPr>
        <w:t>Policy</w:t>
      </w:r>
      <w:proofErr w:type="spellEnd"/>
      <w:r w:rsidRPr="00426E05">
        <w:rPr>
          <w:color w:val="000000"/>
          <w:sz w:val="20"/>
          <w:szCs w:val="20"/>
        </w:rPr>
        <w:t xml:space="preserve"> Management.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5" w:history="1">
        <w:r w:rsidRPr="00426E05">
          <w:rPr>
            <w:rStyle w:val="Hypertextovodkaz"/>
            <w:sz w:val="20"/>
            <w:szCs w:val="20"/>
          </w:rPr>
          <w:t>https://ecdpm.org/wp-content/uploads/DP204-Donor-Agencies-Karaki-Medinilla-November-2016.pdf</w:t>
        </w:r>
      </w:hyperlink>
      <w:r w:rsidRPr="00426E05">
        <w:rPr>
          <w:color w:val="000000"/>
          <w:sz w:val="20"/>
          <w:szCs w:val="20"/>
        </w:rPr>
        <w:t>.</w:t>
      </w:r>
    </w:p>
    <w:p w14:paraId="5D7866AF"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Kindornay</w:t>
      </w:r>
      <w:proofErr w:type="spellEnd"/>
      <w:r w:rsidRPr="00426E05">
        <w:rPr>
          <w:color w:val="000000"/>
          <w:sz w:val="20"/>
          <w:szCs w:val="20"/>
        </w:rPr>
        <w:t xml:space="preserve">, S., </w:t>
      </w:r>
      <w:proofErr w:type="spellStart"/>
      <w:r w:rsidRPr="00426E05">
        <w:rPr>
          <w:color w:val="000000"/>
          <w:sz w:val="20"/>
          <w:szCs w:val="20"/>
        </w:rPr>
        <w:t>Tissot</w:t>
      </w:r>
      <w:proofErr w:type="spellEnd"/>
      <w:r w:rsidRPr="00426E05">
        <w:rPr>
          <w:color w:val="000000"/>
          <w:sz w:val="20"/>
          <w:szCs w:val="20"/>
        </w:rPr>
        <w:t xml:space="preserve">, S. and </w:t>
      </w:r>
      <w:proofErr w:type="spellStart"/>
      <w:r w:rsidRPr="00426E05">
        <w:rPr>
          <w:color w:val="000000"/>
          <w:sz w:val="20"/>
          <w:szCs w:val="20"/>
        </w:rPr>
        <w:t>Sheiban</w:t>
      </w:r>
      <w:proofErr w:type="spellEnd"/>
      <w:r w:rsidRPr="00426E05">
        <w:rPr>
          <w:color w:val="000000"/>
          <w:sz w:val="20"/>
          <w:szCs w:val="20"/>
        </w:rPr>
        <w:t>, N. (2014). </w:t>
      </w:r>
      <w:proofErr w:type="spellStart"/>
      <w:r w:rsidRPr="00426E05">
        <w:rPr>
          <w:i/>
          <w:iCs/>
          <w:color w:val="000000"/>
          <w:sz w:val="20"/>
          <w:szCs w:val="20"/>
        </w:rPr>
        <w:t>The</w:t>
      </w:r>
      <w:proofErr w:type="spellEnd"/>
      <w:r w:rsidRPr="00426E05">
        <w:rPr>
          <w:i/>
          <w:iCs/>
          <w:color w:val="000000"/>
          <w:sz w:val="20"/>
          <w:szCs w:val="20"/>
        </w:rPr>
        <w:t xml:space="preserve"> </w:t>
      </w:r>
      <w:proofErr w:type="spellStart"/>
      <w:r w:rsidRPr="00426E05">
        <w:rPr>
          <w:i/>
          <w:iCs/>
          <w:color w:val="000000"/>
          <w:sz w:val="20"/>
          <w:szCs w:val="20"/>
        </w:rPr>
        <w:t>Value</w:t>
      </w:r>
      <w:proofErr w:type="spellEnd"/>
      <w:r w:rsidRPr="00426E05">
        <w:rPr>
          <w:i/>
          <w:iCs/>
          <w:color w:val="000000"/>
          <w:sz w:val="20"/>
          <w:szCs w:val="20"/>
        </w:rPr>
        <w:t xml:space="preserve"> </w:t>
      </w:r>
      <w:proofErr w:type="spellStart"/>
      <w:r w:rsidRPr="00426E05">
        <w:rPr>
          <w:i/>
          <w:iCs/>
          <w:color w:val="000000"/>
          <w:sz w:val="20"/>
          <w:szCs w:val="20"/>
        </w:rPr>
        <w:t>of</w:t>
      </w:r>
      <w:proofErr w:type="spellEnd"/>
      <w:r w:rsidRPr="00426E05">
        <w:rPr>
          <w:i/>
          <w:iCs/>
          <w:color w:val="000000"/>
          <w:sz w:val="20"/>
          <w:szCs w:val="20"/>
        </w:rPr>
        <w:t xml:space="preserve"> </w:t>
      </w:r>
      <w:proofErr w:type="spellStart"/>
      <w:r w:rsidRPr="00426E05">
        <w:rPr>
          <w:i/>
          <w:iCs/>
          <w:color w:val="000000"/>
          <w:sz w:val="20"/>
          <w:szCs w:val="20"/>
        </w:rPr>
        <w:t>Cross-Sector</w:t>
      </w:r>
      <w:proofErr w:type="spellEnd"/>
      <w:r w:rsidRPr="00426E05">
        <w:rPr>
          <w:i/>
          <w:iCs/>
          <w:color w:val="000000"/>
          <w:sz w:val="20"/>
          <w:szCs w:val="20"/>
        </w:rPr>
        <w:t xml:space="preserve"> Development </w:t>
      </w:r>
      <w:proofErr w:type="spellStart"/>
      <w:r w:rsidRPr="00426E05">
        <w:rPr>
          <w:i/>
          <w:iCs/>
          <w:color w:val="000000"/>
          <w:sz w:val="20"/>
          <w:szCs w:val="20"/>
        </w:rPr>
        <w:t>Partnerships</w:t>
      </w:r>
      <w:proofErr w:type="spellEnd"/>
      <w:r w:rsidRPr="00426E05">
        <w:rPr>
          <w:color w:val="000000"/>
          <w:sz w:val="20"/>
          <w:szCs w:val="20"/>
        </w:rPr>
        <w:t>. [online</w:t>
      </w:r>
      <w:proofErr w:type="gramStart"/>
      <w:r w:rsidRPr="00426E05">
        <w:rPr>
          <w:color w:val="000000"/>
          <w:sz w:val="20"/>
          <w:szCs w:val="20"/>
        </w:rPr>
        <w:t>] .</w:t>
      </w:r>
      <w:proofErr w:type="gramEnd"/>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6" w:history="1">
        <w:r w:rsidRPr="00426E05">
          <w:rPr>
            <w:rStyle w:val="Hypertextovodkaz"/>
            <w:sz w:val="20"/>
            <w:szCs w:val="20"/>
          </w:rPr>
          <w:t>http://www.nsi-ins.ca/wp-content/uploads/2014/01/The-Value-of-Cross-Sector-Development-Partnerships.pdf</w:t>
        </w:r>
      </w:hyperlink>
      <w:r w:rsidRPr="00426E05">
        <w:rPr>
          <w:color w:val="000000"/>
          <w:sz w:val="20"/>
          <w:szCs w:val="20"/>
        </w:rPr>
        <w:t>.</w:t>
      </w:r>
    </w:p>
    <w:p w14:paraId="6F08259B"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Kolk</w:t>
      </w:r>
      <w:proofErr w:type="spellEnd"/>
      <w:r w:rsidRPr="00426E05">
        <w:rPr>
          <w:color w:val="000000"/>
          <w:sz w:val="20"/>
          <w:szCs w:val="20"/>
        </w:rPr>
        <w:t xml:space="preserve">, A., van </w:t>
      </w:r>
      <w:proofErr w:type="spellStart"/>
      <w:r w:rsidRPr="00426E05">
        <w:rPr>
          <w:color w:val="000000"/>
          <w:sz w:val="20"/>
          <w:szCs w:val="20"/>
        </w:rPr>
        <w:t>Tulder</w:t>
      </w:r>
      <w:proofErr w:type="spellEnd"/>
      <w:r w:rsidRPr="00426E05">
        <w:rPr>
          <w:color w:val="000000"/>
          <w:sz w:val="20"/>
          <w:szCs w:val="20"/>
        </w:rPr>
        <w:t xml:space="preserve">, R. and </w:t>
      </w:r>
      <w:proofErr w:type="spellStart"/>
      <w:r w:rsidRPr="00426E05">
        <w:rPr>
          <w:color w:val="000000"/>
          <w:sz w:val="20"/>
          <w:szCs w:val="20"/>
        </w:rPr>
        <w:t>Kostwinder</w:t>
      </w:r>
      <w:proofErr w:type="spellEnd"/>
      <w:r w:rsidRPr="00426E05">
        <w:rPr>
          <w:color w:val="000000"/>
          <w:sz w:val="20"/>
          <w:szCs w:val="20"/>
        </w:rPr>
        <w:t xml:space="preserve">, E. (2008). Business and </w:t>
      </w:r>
      <w:proofErr w:type="spellStart"/>
      <w:r w:rsidRPr="00426E05">
        <w:rPr>
          <w:color w:val="000000"/>
          <w:sz w:val="20"/>
          <w:szCs w:val="20"/>
        </w:rPr>
        <w:t>Partnerships</w:t>
      </w:r>
      <w:proofErr w:type="spellEnd"/>
      <w:r w:rsidRPr="00426E05">
        <w:rPr>
          <w:color w:val="000000"/>
          <w:sz w:val="20"/>
          <w:szCs w:val="20"/>
        </w:rPr>
        <w:t xml:space="preserve"> </w:t>
      </w:r>
      <w:proofErr w:type="spellStart"/>
      <w:r w:rsidRPr="00426E05">
        <w:rPr>
          <w:color w:val="000000"/>
          <w:sz w:val="20"/>
          <w:szCs w:val="20"/>
        </w:rPr>
        <w:t>for</w:t>
      </w:r>
      <w:proofErr w:type="spellEnd"/>
      <w:r w:rsidRPr="00426E05">
        <w:rPr>
          <w:color w:val="000000"/>
          <w:sz w:val="20"/>
          <w:szCs w:val="20"/>
        </w:rPr>
        <w:t xml:space="preserve"> Development. </w:t>
      </w:r>
      <w:proofErr w:type="spellStart"/>
      <w:r w:rsidRPr="00426E05">
        <w:rPr>
          <w:i/>
          <w:iCs/>
          <w:color w:val="000000"/>
          <w:sz w:val="20"/>
          <w:szCs w:val="20"/>
        </w:rPr>
        <w:t>European</w:t>
      </w:r>
      <w:proofErr w:type="spellEnd"/>
      <w:r w:rsidRPr="00426E05">
        <w:rPr>
          <w:i/>
          <w:iCs/>
          <w:color w:val="000000"/>
          <w:sz w:val="20"/>
          <w:szCs w:val="20"/>
        </w:rPr>
        <w:t xml:space="preserve"> Management </w:t>
      </w:r>
      <w:proofErr w:type="spellStart"/>
      <w:r w:rsidRPr="00426E05">
        <w:rPr>
          <w:i/>
          <w:iCs/>
          <w:color w:val="000000"/>
          <w:sz w:val="20"/>
          <w:szCs w:val="20"/>
        </w:rPr>
        <w:t>Journal</w:t>
      </w:r>
      <w:proofErr w:type="spellEnd"/>
      <w:r w:rsidRPr="00426E05">
        <w:rPr>
          <w:color w:val="000000"/>
          <w:sz w:val="20"/>
          <w:szCs w:val="20"/>
        </w:rPr>
        <w:t xml:space="preserve">, [online] 26(4), pp.262–273.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7" w:history="1">
        <w:r w:rsidRPr="00426E05">
          <w:rPr>
            <w:rStyle w:val="Hypertextovodkaz"/>
            <w:sz w:val="20"/>
            <w:szCs w:val="20"/>
          </w:rPr>
          <w:t>https://papers.ssrn.com/sol3/papers.cfm?abstract_id=1086066</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15 Jun. 2021].</w:t>
      </w:r>
    </w:p>
    <w:p w14:paraId="2697A9F0"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Kuenkel</w:t>
      </w:r>
      <w:proofErr w:type="spellEnd"/>
      <w:r w:rsidRPr="00426E05">
        <w:rPr>
          <w:color w:val="000000"/>
          <w:sz w:val="20"/>
          <w:szCs w:val="20"/>
        </w:rPr>
        <w:t xml:space="preserve">, P. and </w:t>
      </w:r>
      <w:proofErr w:type="spellStart"/>
      <w:r w:rsidRPr="00426E05">
        <w:rPr>
          <w:color w:val="000000"/>
          <w:sz w:val="20"/>
          <w:szCs w:val="20"/>
        </w:rPr>
        <w:t>Aitken</w:t>
      </w:r>
      <w:proofErr w:type="spellEnd"/>
      <w:r w:rsidRPr="00426E05">
        <w:rPr>
          <w:color w:val="000000"/>
          <w:sz w:val="20"/>
          <w:szCs w:val="20"/>
        </w:rPr>
        <w:t xml:space="preserve">, A. (2015). </w:t>
      </w:r>
      <w:proofErr w:type="spellStart"/>
      <w:r w:rsidRPr="00426E05">
        <w:rPr>
          <w:color w:val="000000"/>
          <w:sz w:val="20"/>
          <w:szCs w:val="20"/>
        </w:rPr>
        <w:t>Key</w:t>
      </w:r>
      <w:proofErr w:type="spellEnd"/>
      <w:r w:rsidRPr="00426E05">
        <w:rPr>
          <w:color w:val="000000"/>
          <w:sz w:val="20"/>
          <w:szCs w:val="20"/>
        </w:rPr>
        <w:t xml:space="preserve"> </w:t>
      </w:r>
      <w:proofErr w:type="spellStart"/>
      <w:r w:rsidRPr="00426E05">
        <w:rPr>
          <w:color w:val="000000"/>
          <w:sz w:val="20"/>
          <w:szCs w:val="20"/>
        </w:rPr>
        <w:t>Factors</w:t>
      </w:r>
      <w:proofErr w:type="spellEnd"/>
      <w:r w:rsidRPr="00426E05">
        <w:rPr>
          <w:color w:val="000000"/>
          <w:sz w:val="20"/>
          <w:szCs w:val="20"/>
        </w:rPr>
        <w:t xml:space="preserve"> </w:t>
      </w:r>
      <w:proofErr w:type="spellStart"/>
      <w:r w:rsidRPr="00426E05">
        <w:rPr>
          <w:color w:val="000000"/>
          <w:sz w:val="20"/>
          <w:szCs w:val="20"/>
        </w:rPr>
        <w:t>for</w:t>
      </w:r>
      <w:proofErr w:type="spellEnd"/>
      <w:r w:rsidRPr="00426E05">
        <w:rPr>
          <w:color w:val="000000"/>
          <w:sz w:val="20"/>
          <w:szCs w:val="20"/>
        </w:rPr>
        <w:t xml:space="preserve"> </w:t>
      </w:r>
      <w:proofErr w:type="spellStart"/>
      <w:r w:rsidRPr="00426E05">
        <w:rPr>
          <w:color w:val="000000"/>
          <w:sz w:val="20"/>
          <w:szCs w:val="20"/>
        </w:rPr>
        <w:t>the</w:t>
      </w:r>
      <w:proofErr w:type="spellEnd"/>
      <w:r w:rsidRPr="00426E05">
        <w:rPr>
          <w:color w:val="000000"/>
          <w:sz w:val="20"/>
          <w:szCs w:val="20"/>
        </w:rPr>
        <w:t xml:space="preserve"> </w:t>
      </w:r>
      <w:proofErr w:type="spellStart"/>
      <w:r w:rsidRPr="00426E05">
        <w:rPr>
          <w:color w:val="000000"/>
          <w:sz w:val="20"/>
          <w:szCs w:val="20"/>
        </w:rPr>
        <w:t>Successful</w:t>
      </w:r>
      <w:proofErr w:type="spellEnd"/>
      <w:r w:rsidRPr="00426E05">
        <w:rPr>
          <w:color w:val="000000"/>
          <w:sz w:val="20"/>
          <w:szCs w:val="20"/>
        </w:rPr>
        <w:t xml:space="preserve"> </w:t>
      </w:r>
      <w:proofErr w:type="spellStart"/>
      <w:r w:rsidRPr="00426E05">
        <w:rPr>
          <w:color w:val="000000"/>
          <w:sz w:val="20"/>
          <w:szCs w:val="20"/>
        </w:rPr>
        <w:t>Implementation</w:t>
      </w:r>
      <w:proofErr w:type="spellEnd"/>
      <w:r w:rsidRPr="00426E05">
        <w:rPr>
          <w:color w:val="000000"/>
          <w:sz w:val="20"/>
          <w:szCs w:val="20"/>
        </w:rPr>
        <w:t xml:space="preserve"> </w:t>
      </w:r>
      <w:proofErr w:type="spellStart"/>
      <w:r w:rsidRPr="00426E05">
        <w:rPr>
          <w:color w:val="000000"/>
          <w:sz w:val="20"/>
          <w:szCs w:val="20"/>
        </w:rPr>
        <w:t>of</w:t>
      </w:r>
      <w:proofErr w:type="spellEnd"/>
      <w:r w:rsidRPr="00426E05">
        <w:rPr>
          <w:color w:val="000000"/>
          <w:sz w:val="20"/>
          <w:szCs w:val="20"/>
        </w:rPr>
        <w:t xml:space="preserve"> Stakeholder </w:t>
      </w:r>
      <w:proofErr w:type="spellStart"/>
      <w:r w:rsidRPr="00426E05">
        <w:rPr>
          <w:color w:val="000000"/>
          <w:sz w:val="20"/>
          <w:szCs w:val="20"/>
        </w:rPr>
        <w:t>Partnerships</w:t>
      </w:r>
      <w:proofErr w:type="spellEnd"/>
      <w:r w:rsidRPr="00426E05">
        <w:rPr>
          <w:color w:val="000000"/>
          <w:sz w:val="20"/>
          <w:szCs w:val="20"/>
        </w:rPr>
        <w:t xml:space="preserve">: </w:t>
      </w:r>
      <w:proofErr w:type="spellStart"/>
      <w:r w:rsidRPr="00426E05">
        <w:rPr>
          <w:color w:val="000000"/>
          <w:sz w:val="20"/>
          <w:szCs w:val="20"/>
        </w:rPr>
        <w:t>The</w:t>
      </w:r>
      <w:proofErr w:type="spellEnd"/>
      <w:r w:rsidRPr="00426E05">
        <w:rPr>
          <w:color w:val="000000"/>
          <w:sz w:val="20"/>
          <w:szCs w:val="20"/>
        </w:rPr>
        <w:t xml:space="preserve"> Case </w:t>
      </w:r>
      <w:proofErr w:type="spellStart"/>
      <w:r w:rsidRPr="00426E05">
        <w:rPr>
          <w:color w:val="000000"/>
          <w:sz w:val="20"/>
          <w:szCs w:val="20"/>
        </w:rPr>
        <w:t>of</w:t>
      </w:r>
      <w:proofErr w:type="spellEnd"/>
      <w:r w:rsidRPr="00426E05">
        <w:rPr>
          <w:color w:val="000000"/>
          <w:sz w:val="20"/>
          <w:szCs w:val="20"/>
        </w:rPr>
        <w:t xml:space="preserve"> </w:t>
      </w:r>
      <w:proofErr w:type="spellStart"/>
      <w:r w:rsidRPr="00426E05">
        <w:rPr>
          <w:color w:val="000000"/>
          <w:sz w:val="20"/>
          <w:szCs w:val="20"/>
        </w:rPr>
        <w:t>the</w:t>
      </w:r>
      <w:proofErr w:type="spellEnd"/>
      <w:r w:rsidRPr="00426E05">
        <w:rPr>
          <w:color w:val="000000"/>
          <w:sz w:val="20"/>
          <w:szCs w:val="20"/>
        </w:rPr>
        <w:t xml:space="preserve"> </w:t>
      </w:r>
      <w:proofErr w:type="spellStart"/>
      <w:r w:rsidRPr="00426E05">
        <w:rPr>
          <w:color w:val="000000"/>
          <w:sz w:val="20"/>
          <w:szCs w:val="20"/>
        </w:rPr>
        <w:t>African</w:t>
      </w:r>
      <w:proofErr w:type="spellEnd"/>
      <w:r w:rsidRPr="00426E05">
        <w:rPr>
          <w:color w:val="000000"/>
          <w:sz w:val="20"/>
          <w:szCs w:val="20"/>
        </w:rPr>
        <w:t xml:space="preserve"> </w:t>
      </w:r>
      <w:proofErr w:type="spellStart"/>
      <w:r w:rsidRPr="00426E05">
        <w:rPr>
          <w:color w:val="000000"/>
          <w:sz w:val="20"/>
          <w:szCs w:val="20"/>
        </w:rPr>
        <w:t>Cashew</w:t>
      </w:r>
      <w:proofErr w:type="spellEnd"/>
      <w:r w:rsidRPr="00426E05">
        <w:rPr>
          <w:color w:val="000000"/>
          <w:sz w:val="20"/>
          <w:szCs w:val="20"/>
        </w:rPr>
        <w:t xml:space="preserve"> </w:t>
      </w:r>
      <w:proofErr w:type="spellStart"/>
      <w:r w:rsidRPr="00426E05">
        <w:rPr>
          <w:color w:val="000000"/>
          <w:sz w:val="20"/>
          <w:szCs w:val="20"/>
        </w:rPr>
        <w:t>initiative</w:t>
      </w:r>
      <w:proofErr w:type="spellEnd"/>
      <w:r w:rsidRPr="00426E05">
        <w:rPr>
          <w:color w:val="000000"/>
          <w:sz w:val="20"/>
          <w:szCs w:val="20"/>
        </w:rPr>
        <w:t>. In: </w:t>
      </w:r>
      <w:proofErr w:type="spellStart"/>
      <w:r w:rsidRPr="00426E05">
        <w:rPr>
          <w:i/>
          <w:iCs/>
          <w:color w:val="000000"/>
          <w:sz w:val="20"/>
          <w:szCs w:val="20"/>
        </w:rPr>
        <w:t>The</w:t>
      </w:r>
      <w:proofErr w:type="spellEnd"/>
      <w:r w:rsidRPr="00426E05">
        <w:rPr>
          <w:i/>
          <w:iCs/>
          <w:color w:val="000000"/>
          <w:sz w:val="20"/>
          <w:szCs w:val="20"/>
        </w:rPr>
        <w:t xml:space="preserve"> Business </w:t>
      </w:r>
      <w:proofErr w:type="spellStart"/>
      <w:r w:rsidRPr="00426E05">
        <w:rPr>
          <w:i/>
          <w:iCs/>
          <w:color w:val="000000"/>
          <w:sz w:val="20"/>
          <w:szCs w:val="20"/>
        </w:rPr>
        <w:t>of</w:t>
      </w:r>
      <w:proofErr w:type="spellEnd"/>
      <w:r w:rsidRPr="00426E05">
        <w:rPr>
          <w:i/>
          <w:iCs/>
          <w:color w:val="000000"/>
          <w:sz w:val="20"/>
          <w:szCs w:val="20"/>
        </w:rPr>
        <w:t xml:space="preserve"> </w:t>
      </w:r>
      <w:proofErr w:type="spellStart"/>
      <w:r w:rsidRPr="00426E05">
        <w:rPr>
          <w:i/>
          <w:iCs/>
          <w:color w:val="000000"/>
          <w:sz w:val="20"/>
          <w:szCs w:val="20"/>
        </w:rPr>
        <w:t>Social</w:t>
      </w:r>
      <w:proofErr w:type="spellEnd"/>
      <w:r w:rsidRPr="00426E05">
        <w:rPr>
          <w:i/>
          <w:iCs/>
          <w:color w:val="000000"/>
          <w:sz w:val="20"/>
          <w:szCs w:val="20"/>
        </w:rPr>
        <w:t xml:space="preserve"> and </w:t>
      </w:r>
      <w:proofErr w:type="spellStart"/>
      <w:r w:rsidRPr="00426E05">
        <w:rPr>
          <w:i/>
          <w:iCs/>
          <w:color w:val="000000"/>
          <w:sz w:val="20"/>
          <w:szCs w:val="20"/>
        </w:rPr>
        <w:t>Environmental</w:t>
      </w:r>
      <w:proofErr w:type="spellEnd"/>
      <w:r w:rsidRPr="00426E05">
        <w:rPr>
          <w:i/>
          <w:iCs/>
          <w:color w:val="000000"/>
          <w:sz w:val="20"/>
          <w:szCs w:val="20"/>
        </w:rPr>
        <w:t xml:space="preserve"> </w:t>
      </w:r>
      <w:proofErr w:type="gramStart"/>
      <w:r w:rsidRPr="00426E05">
        <w:rPr>
          <w:i/>
          <w:iCs/>
          <w:color w:val="000000"/>
          <w:sz w:val="20"/>
          <w:szCs w:val="20"/>
        </w:rPr>
        <w:t>Innovation - New</w:t>
      </w:r>
      <w:proofErr w:type="gramEnd"/>
      <w:r w:rsidRPr="00426E05">
        <w:rPr>
          <w:i/>
          <w:iCs/>
          <w:color w:val="000000"/>
          <w:sz w:val="20"/>
          <w:szCs w:val="20"/>
        </w:rPr>
        <w:t xml:space="preserve"> </w:t>
      </w:r>
      <w:proofErr w:type="spellStart"/>
      <w:r w:rsidRPr="00426E05">
        <w:rPr>
          <w:i/>
          <w:iCs/>
          <w:color w:val="000000"/>
          <w:sz w:val="20"/>
          <w:szCs w:val="20"/>
        </w:rPr>
        <w:t>Frontiers</w:t>
      </w:r>
      <w:proofErr w:type="spellEnd"/>
      <w:r w:rsidRPr="00426E05">
        <w:rPr>
          <w:i/>
          <w:iCs/>
          <w:color w:val="000000"/>
          <w:sz w:val="20"/>
          <w:szCs w:val="20"/>
        </w:rPr>
        <w:t xml:space="preserve"> in </w:t>
      </w:r>
      <w:proofErr w:type="spellStart"/>
      <w:r w:rsidRPr="00426E05">
        <w:rPr>
          <w:i/>
          <w:iCs/>
          <w:color w:val="000000"/>
          <w:sz w:val="20"/>
          <w:szCs w:val="20"/>
        </w:rPr>
        <w:t>Africa</w:t>
      </w:r>
      <w:proofErr w:type="spellEnd"/>
      <w:r w:rsidRPr="00426E05">
        <w:rPr>
          <w:color w:val="000000"/>
          <w:sz w:val="20"/>
          <w:szCs w:val="20"/>
        </w:rPr>
        <w:t xml:space="preserve">. [online] </w:t>
      </w:r>
      <w:proofErr w:type="spellStart"/>
      <w:r w:rsidRPr="00426E05">
        <w:rPr>
          <w:color w:val="000000"/>
          <w:sz w:val="20"/>
          <w:szCs w:val="20"/>
        </w:rPr>
        <w:t>Springer</w:t>
      </w:r>
      <w:proofErr w:type="spellEnd"/>
      <w:r w:rsidRPr="00426E05">
        <w:rPr>
          <w:color w:val="000000"/>
          <w:sz w:val="20"/>
          <w:szCs w:val="20"/>
        </w:rPr>
        <w:t xml:space="preserve"> International.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68" w:history="1">
        <w:r w:rsidRPr="00426E05">
          <w:rPr>
            <w:rStyle w:val="Hypertextovodkaz"/>
            <w:sz w:val="20"/>
            <w:szCs w:val="20"/>
          </w:rPr>
          <w:t>https://www.semanticscholar.org/paper/Key-Factors-for-the-Successful-Implementation-of-of-Kuenkel-Aitken/9e2e350e0d729dbd1e6d54e0b7c6dabfffa53042</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17 Jun. 2021].</w:t>
      </w:r>
    </w:p>
    <w:p w14:paraId="7CE42EC1" w14:textId="40EAADCF" w:rsidR="00426E05" w:rsidRPr="00426E05" w:rsidRDefault="00426E05" w:rsidP="00426E05">
      <w:pPr>
        <w:spacing w:before="60" w:after="60"/>
        <w:rPr>
          <w:sz w:val="20"/>
          <w:szCs w:val="20"/>
        </w:rPr>
      </w:pPr>
      <w:r w:rsidRPr="007B08C0">
        <w:rPr>
          <w:sz w:val="20"/>
          <w:szCs w:val="20"/>
        </w:rPr>
        <w:t>L</w:t>
      </w:r>
      <w:r>
        <w:rPr>
          <w:sz w:val="20"/>
          <w:szCs w:val="20"/>
        </w:rPr>
        <w:t>i</w:t>
      </w:r>
      <w:r w:rsidRPr="007B08C0">
        <w:rPr>
          <w:sz w:val="20"/>
          <w:szCs w:val="20"/>
        </w:rPr>
        <w:t xml:space="preserve">pková, S., </w:t>
      </w:r>
      <w:proofErr w:type="spellStart"/>
      <w:r w:rsidRPr="007B08C0">
        <w:rPr>
          <w:sz w:val="20"/>
          <w:szCs w:val="20"/>
        </w:rPr>
        <w:t>Pejcal</w:t>
      </w:r>
      <w:proofErr w:type="spellEnd"/>
      <w:r w:rsidRPr="007B08C0">
        <w:rPr>
          <w:sz w:val="20"/>
          <w:szCs w:val="20"/>
        </w:rPr>
        <w:t xml:space="preserve">, J., Zetková, P. (2019). Souhrnná zpráva z evaluačních aktivit přínosu výzvy 031 OPZ výzvy Budování kapacit a profesionalizace NNO. Dostupné na </w:t>
      </w:r>
      <w:hyperlink r:id="rId69" w:history="1">
        <w:r w:rsidRPr="007B08C0">
          <w:rPr>
            <w:rStyle w:val="Hypertextovodkaz"/>
            <w:sz w:val="20"/>
            <w:szCs w:val="20"/>
          </w:rPr>
          <w:t>https://www.dotaceeu.cz/cs/evropske-fondy-v-cr/narodni-organ-pro-koordinaci/evaluace/knihovna-evaluaci/evaluace-vysledku-pilotni-podpory-budovani-kapacit</w:t>
        </w:r>
      </w:hyperlink>
    </w:p>
    <w:p w14:paraId="235F3521" w14:textId="0AA87D86"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Ljungman</w:t>
      </w:r>
      <w:proofErr w:type="spellEnd"/>
      <w:r w:rsidRPr="00426E05">
        <w:rPr>
          <w:color w:val="000000"/>
          <w:sz w:val="20"/>
          <w:szCs w:val="20"/>
        </w:rPr>
        <w:t xml:space="preserve">, C., </w:t>
      </w:r>
      <w:proofErr w:type="spellStart"/>
      <w:r w:rsidRPr="00426E05">
        <w:rPr>
          <w:color w:val="000000"/>
          <w:sz w:val="20"/>
          <w:szCs w:val="20"/>
        </w:rPr>
        <w:t>Andersson</w:t>
      </w:r>
      <w:proofErr w:type="spellEnd"/>
      <w:r w:rsidRPr="00426E05">
        <w:rPr>
          <w:color w:val="000000"/>
          <w:sz w:val="20"/>
          <w:szCs w:val="20"/>
        </w:rPr>
        <w:t xml:space="preserve">, J., </w:t>
      </w:r>
      <w:proofErr w:type="spellStart"/>
      <w:r w:rsidRPr="00426E05">
        <w:rPr>
          <w:color w:val="000000"/>
          <w:sz w:val="20"/>
          <w:szCs w:val="20"/>
        </w:rPr>
        <w:t>Norén</w:t>
      </w:r>
      <w:proofErr w:type="spellEnd"/>
      <w:r w:rsidRPr="00426E05">
        <w:rPr>
          <w:color w:val="000000"/>
          <w:sz w:val="20"/>
          <w:szCs w:val="20"/>
        </w:rPr>
        <w:t xml:space="preserve">, J. and </w:t>
      </w:r>
      <w:proofErr w:type="spellStart"/>
      <w:r w:rsidRPr="00426E05">
        <w:rPr>
          <w:color w:val="000000"/>
          <w:sz w:val="20"/>
          <w:szCs w:val="20"/>
        </w:rPr>
        <w:t>Pellby</w:t>
      </w:r>
      <w:proofErr w:type="spellEnd"/>
      <w:r w:rsidRPr="00426E05">
        <w:rPr>
          <w:color w:val="000000"/>
          <w:sz w:val="20"/>
          <w:szCs w:val="20"/>
        </w:rPr>
        <w:t>, E. (2019). </w:t>
      </w:r>
      <w:proofErr w:type="spellStart"/>
      <w:r w:rsidRPr="00426E05">
        <w:rPr>
          <w:i/>
          <w:iCs/>
          <w:color w:val="000000"/>
          <w:sz w:val="20"/>
          <w:szCs w:val="20"/>
        </w:rPr>
        <w:t>Evaluation</w:t>
      </w:r>
      <w:proofErr w:type="spellEnd"/>
      <w:r w:rsidRPr="00426E05">
        <w:rPr>
          <w:i/>
          <w:iCs/>
          <w:color w:val="000000"/>
          <w:sz w:val="20"/>
          <w:szCs w:val="20"/>
        </w:rPr>
        <w:t xml:space="preserve"> </w:t>
      </w:r>
      <w:proofErr w:type="spellStart"/>
      <w:r w:rsidRPr="00426E05">
        <w:rPr>
          <w:i/>
          <w:iCs/>
          <w:color w:val="000000"/>
          <w:sz w:val="20"/>
          <w:szCs w:val="20"/>
        </w:rPr>
        <w:t>of</w:t>
      </w:r>
      <w:proofErr w:type="spellEnd"/>
      <w:r w:rsidRPr="00426E05">
        <w:rPr>
          <w:i/>
          <w:iCs/>
          <w:color w:val="000000"/>
          <w:sz w:val="20"/>
          <w:szCs w:val="20"/>
        </w:rPr>
        <w:t xml:space="preserve"> </w:t>
      </w:r>
      <w:proofErr w:type="spellStart"/>
      <w:r w:rsidRPr="00426E05">
        <w:rPr>
          <w:i/>
          <w:iCs/>
          <w:color w:val="000000"/>
          <w:sz w:val="20"/>
          <w:szCs w:val="20"/>
        </w:rPr>
        <w:t>Swedish</w:t>
      </w:r>
      <w:proofErr w:type="spellEnd"/>
      <w:r w:rsidRPr="00426E05">
        <w:rPr>
          <w:i/>
          <w:iCs/>
          <w:color w:val="000000"/>
          <w:sz w:val="20"/>
          <w:szCs w:val="20"/>
        </w:rPr>
        <w:t xml:space="preserve"> Leadership </w:t>
      </w:r>
      <w:proofErr w:type="spellStart"/>
      <w:r w:rsidRPr="00426E05">
        <w:rPr>
          <w:i/>
          <w:iCs/>
          <w:color w:val="000000"/>
          <w:sz w:val="20"/>
          <w:szCs w:val="20"/>
        </w:rPr>
        <w:t>for</w:t>
      </w:r>
      <w:proofErr w:type="spellEnd"/>
      <w:r w:rsidRPr="00426E05">
        <w:rPr>
          <w:i/>
          <w:iCs/>
          <w:color w:val="000000"/>
          <w:sz w:val="20"/>
          <w:szCs w:val="20"/>
        </w:rPr>
        <w:t xml:space="preserve"> </w:t>
      </w:r>
      <w:proofErr w:type="spellStart"/>
      <w:r w:rsidRPr="00426E05">
        <w:rPr>
          <w:i/>
          <w:iCs/>
          <w:color w:val="000000"/>
          <w:sz w:val="20"/>
          <w:szCs w:val="20"/>
        </w:rPr>
        <w:t>Sustainable</w:t>
      </w:r>
      <w:proofErr w:type="spellEnd"/>
      <w:r w:rsidRPr="00426E05">
        <w:rPr>
          <w:i/>
          <w:iCs/>
          <w:color w:val="000000"/>
          <w:sz w:val="20"/>
          <w:szCs w:val="20"/>
        </w:rPr>
        <w:t xml:space="preserve"> Development </w:t>
      </w:r>
      <w:proofErr w:type="spellStart"/>
      <w:r w:rsidRPr="00426E05">
        <w:rPr>
          <w:i/>
          <w:iCs/>
          <w:color w:val="000000"/>
          <w:sz w:val="20"/>
          <w:szCs w:val="20"/>
        </w:rPr>
        <w:t>Final</w:t>
      </w:r>
      <w:proofErr w:type="spellEnd"/>
      <w:r w:rsidRPr="00426E05">
        <w:rPr>
          <w:i/>
          <w:iCs/>
          <w:color w:val="000000"/>
          <w:sz w:val="20"/>
          <w:szCs w:val="20"/>
        </w:rPr>
        <w:t xml:space="preserve"> Report</w:t>
      </w:r>
      <w:r w:rsidRPr="00426E05">
        <w:rPr>
          <w:color w:val="000000"/>
          <w:sz w:val="20"/>
          <w:szCs w:val="20"/>
        </w:rPr>
        <w:t>. [online</w:t>
      </w:r>
      <w:proofErr w:type="gramStart"/>
      <w:r w:rsidRPr="00426E05">
        <w:rPr>
          <w:color w:val="000000"/>
          <w:sz w:val="20"/>
          <w:szCs w:val="20"/>
        </w:rPr>
        <w:t>] .</w:t>
      </w:r>
      <w:proofErr w:type="gramEnd"/>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70" w:history="1">
        <w:r w:rsidRPr="00426E05">
          <w:rPr>
            <w:rStyle w:val="Hypertextovodkaz"/>
            <w:sz w:val="20"/>
            <w:szCs w:val="20"/>
          </w:rPr>
          <w:t>https://publikationer.sida.se/contentassets/e35b55d8740d46e5ba773b99f3e3385c/de2019_3_62195en.pdf</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15 Jun. 2021].</w:t>
      </w:r>
    </w:p>
    <w:p w14:paraId="152834A5" w14:textId="6C82B733" w:rsidR="00426E05" w:rsidRDefault="00426E05" w:rsidP="00426E05">
      <w:pPr>
        <w:spacing w:before="60" w:after="60"/>
        <w:rPr>
          <w:sz w:val="20"/>
          <w:szCs w:val="22"/>
        </w:rPr>
      </w:pPr>
      <w:r>
        <w:rPr>
          <w:sz w:val="20"/>
          <w:szCs w:val="22"/>
        </w:rPr>
        <w:t xml:space="preserve">Ministerstvo práce a sociálních věcí, Odbor realizace programu Evropského sociálního fondu (2015): Výzva k předkládání žádostí o podporu v rámci Operačního programu Zaměstnanost č. 03_15_031 a další relevantní dokumenty k výzvě. Dostupné </w:t>
      </w:r>
      <w:hyperlink r:id="rId71" w:history="1">
        <w:r w:rsidRPr="004B5EA6">
          <w:rPr>
            <w:rStyle w:val="Hypertextovodkaz"/>
            <w:sz w:val="20"/>
            <w:szCs w:val="22"/>
          </w:rPr>
          <w:t>zde</w:t>
        </w:r>
      </w:hyperlink>
      <w:r>
        <w:rPr>
          <w:sz w:val="20"/>
          <w:szCs w:val="22"/>
        </w:rPr>
        <w:t xml:space="preserve"> (23.5.2021).</w:t>
      </w:r>
    </w:p>
    <w:p w14:paraId="6DBB1AEF" w14:textId="5245FDCF" w:rsidR="00906B89" w:rsidRPr="00906B89" w:rsidRDefault="00906B89" w:rsidP="00426E05">
      <w:pPr>
        <w:spacing w:before="60" w:after="60"/>
        <w:rPr>
          <w:sz w:val="20"/>
          <w:szCs w:val="20"/>
        </w:rPr>
      </w:pPr>
      <w:r w:rsidRPr="00906B89">
        <w:rPr>
          <w:sz w:val="20"/>
          <w:szCs w:val="22"/>
        </w:rPr>
        <w:t>Ministerstvo</w:t>
      </w:r>
      <w:r w:rsidRPr="00132A81">
        <w:rPr>
          <w:sz w:val="20"/>
          <w:szCs w:val="20"/>
        </w:rPr>
        <w:t xml:space="preserve"> životního prostředí (2019). Výsledky programu na podporu projektů NNO. Dostupné </w:t>
      </w:r>
      <w:hyperlink r:id="rId72" w:history="1">
        <w:r w:rsidRPr="00132A81">
          <w:rPr>
            <w:rStyle w:val="Hypertextovodkaz"/>
            <w:sz w:val="20"/>
            <w:szCs w:val="20"/>
          </w:rPr>
          <w:t xml:space="preserve">zde </w:t>
        </w:r>
      </w:hyperlink>
      <w:r w:rsidRPr="00132A81">
        <w:rPr>
          <w:sz w:val="20"/>
          <w:szCs w:val="20"/>
        </w:rPr>
        <w:t xml:space="preserve"> (19. 6. 2021)</w:t>
      </w:r>
      <w:r w:rsidR="00FA5383">
        <w:rPr>
          <w:sz w:val="20"/>
          <w:szCs w:val="20"/>
        </w:rPr>
        <w:t>.</w:t>
      </w:r>
    </w:p>
    <w:p w14:paraId="1685FDC5" w14:textId="54003A59" w:rsidR="00426E05" w:rsidRDefault="00426E05" w:rsidP="00426E05">
      <w:pPr>
        <w:shd w:val="clear" w:color="auto" w:fill="FFFFFF"/>
        <w:spacing w:before="80" w:after="80"/>
        <w:rPr>
          <w:color w:val="000000"/>
          <w:sz w:val="20"/>
          <w:szCs w:val="20"/>
        </w:rPr>
      </w:pPr>
      <w:r w:rsidRPr="00426E05">
        <w:rPr>
          <w:color w:val="000000"/>
          <w:sz w:val="20"/>
          <w:szCs w:val="20"/>
        </w:rPr>
        <w:t xml:space="preserve">Ministry </w:t>
      </w:r>
      <w:proofErr w:type="spellStart"/>
      <w:r w:rsidRPr="00426E05">
        <w:rPr>
          <w:color w:val="000000"/>
          <w:sz w:val="20"/>
          <w:szCs w:val="20"/>
        </w:rPr>
        <w:t>of</w:t>
      </w:r>
      <w:proofErr w:type="spellEnd"/>
      <w:r w:rsidRPr="00426E05">
        <w:rPr>
          <w:color w:val="000000"/>
          <w:sz w:val="20"/>
          <w:szCs w:val="20"/>
        </w:rPr>
        <w:t xml:space="preserve"> </w:t>
      </w:r>
      <w:proofErr w:type="spellStart"/>
      <w:r w:rsidRPr="00426E05">
        <w:rPr>
          <w:color w:val="000000"/>
          <w:sz w:val="20"/>
          <w:szCs w:val="20"/>
        </w:rPr>
        <w:t>Foreign</w:t>
      </w:r>
      <w:proofErr w:type="spellEnd"/>
      <w:r w:rsidRPr="00426E05">
        <w:rPr>
          <w:color w:val="000000"/>
          <w:sz w:val="20"/>
          <w:szCs w:val="20"/>
        </w:rPr>
        <w:t xml:space="preserve"> </w:t>
      </w:r>
      <w:proofErr w:type="spellStart"/>
      <w:r w:rsidRPr="00426E05">
        <w:rPr>
          <w:color w:val="000000"/>
          <w:sz w:val="20"/>
          <w:szCs w:val="20"/>
        </w:rPr>
        <w:t>Affairs</w:t>
      </w:r>
      <w:proofErr w:type="spellEnd"/>
      <w:r w:rsidRPr="00426E05">
        <w:rPr>
          <w:color w:val="000000"/>
          <w:sz w:val="20"/>
          <w:szCs w:val="20"/>
        </w:rPr>
        <w:t xml:space="preserve">, </w:t>
      </w:r>
      <w:proofErr w:type="spellStart"/>
      <w:r w:rsidRPr="00426E05">
        <w:rPr>
          <w:color w:val="000000"/>
          <w:sz w:val="20"/>
          <w:szCs w:val="20"/>
        </w:rPr>
        <w:t>Denmark</w:t>
      </w:r>
      <w:proofErr w:type="spellEnd"/>
      <w:r w:rsidRPr="00426E05">
        <w:rPr>
          <w:color w:val="000000"/>
          <w:sz w:val="20"/>
          <w:szCs w:val="20"/>
        </w:rPr>
        <w:t xml:space="preserve"> (2017). </w:t>
      </w:r>
      <w:proofErr w:type="spellStart"/>
      <w:r w:rsidRPr="00426E05">
        <w:rPr>
          <w:i/>
          <w:iCs/>
          <w:color w:val="000000"/>
          <w:sz w:val="20"/>
          <w:szCs w:val="20"/>
        </w:rPr>
        <w:t>Updated</w:t>
      </w:r>
      <w:proofErr w:type="spellEnd"/>
      <w:r w:rsidRPr="00426E05">
        <w:rPr>
          <w:i/>
          <w:iCs/>
          <w:color w:val="000000"/>
          <w:sz w:val="20"/>
          <w:szCs w:val="20"/>
        </w:rPr>
        <w:t xml:space="preserve"> Programme </w:t>
      </w:r>
      <w:proofErr w:type="spellStart"/>
      <w:r w:rsidRPr="00426E05">
        <w:rPr>
          <w:i/>
          <w:iCs/>
          <w:color w:val="000000"/>
          <w:sz w:val="20"/>
          <w:szCs w:val="20"/>
        </w:rPr>
        <w:t>Document</w:t>
      </w:r>
      <w:proofErr w:type="spellEnd"/>
      <w:r w:rsidRPr="00426E05">
        <w:rPr>
          <w:i/>
          <w:iCs/>
          <w:color w:val="000000"/>
          <w:sz w:val="20"/>
          <w:szCs w:val="20"/>
        </w:rPr>
        <w:t xml:space="preserve"> </w:t>
      </w:r>
      <w:proofErr w:type="spellStart"/>
      <w:r w:rsidRPr="00426E05">
        <w:rPr>
          <w:i/>
          <w:iCs/>
          <w:color w:val="000000"/>
          <w:sz w:val="20"/>
          <w:szCs w:val="20"/>
        </w:rPr>
        <w:t>Danida</w:t>
      </w:r>
      <w:proofErr w:type="spellEnd"/>
      <w:r w:rsidRPr="00426E05">
        <w:rPr>
          <w:i/>
          <w:iCs/>
          <w:color w:val="000000"/>
          <w:sz w:val="20"/>
          <w:szCs w:val="20"/>
        </w:rPr>
        <w:t xml:space="preserve"> Market Development </w:t>
      </w:r>
      <w:proofErr w:type="spellStart"/>
      <w:r w:rsidRPr="00426E05">
        <w:rPr>
          <w:i/>
          <w:iCs/>
          <w:color w:val="000000"/>
          <w:sz w:val="20"/>
          <w:szCs w:val="20"/>
        </w:rPr>
        <w:t>Partnerships</w:t>
      </w:r>
      <w:proofErr w:type="spellEnd"/>
      <w:r w:rsidRPr="00426E05">
        <w:rPr>
          <w:i/>
          <w:iCs/>
          <w:color w:val="000000"/>
          <w:sz w:val="20"/>
          <w:szCs w:val="20"/>
        </w:rPr>
        <w:t xml:space="preserve"> Programme</w:t>
      </w:r>
      <w:r w:rsidRPr="00426E05">
        <w:rPr>
          <w:color w:val="000000"/>
          <w:sz w:val="20"/>
          <w:szCs w:val="20"/>
        </w:rPr>
        <w:t xml:space="preserve">. [online].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73" w:history="1">
        <w:r w:rsidRPr="00426E05">
          <w:rPr>
            <w:rStyle w:val="Hypertextovodkaz"/>
            <w:sz w:val="20"/>
            <w:szCs w:val="20"/>
          </w:rPr>
          <w:t>https://dmdp.dk/wp-content/uploads/2020/03/Programme-document-2017-incl-annex.pdf</w:t>
        </w:r>
      </w:hyperlink>
      <w:r w:rsidRPr="00426E05">
        <w:rPr>
          <w:color w:val="000000"/>
          <w:sz w:val="20"/>
          <w:szCs w:val="20"/>
        </w:rPr>
        <w:t>.</w:t>
      </w:r>
    </w:p>
    <w:p w14:paraId="0A87E513" w14:textId="15C9A1A7" w:rsidR="008D5BDA" w:rsidRPr="00576785" w:rsidRDefault="008D5BDA" w:rsidP="00576785">
      <w:pPr>
        <w:jc w:val="left"/>
        <w:rPr>
          <w:szCs w:val="22"/>
        </w:rPr>
      </w:pPr>
      <w:proofErr w:type="spellStart"/>
      <w:r w:rsidRPr="00576785">
        <w:rPr>
          <w:color w:val="000000"/>
          <w:sz w:val="20"/>
          <w:szCs w:val="20"/>
        </w:rPr>
        <w:t>Norad</w:t>
      </w:r>
      <w:proofErr w:type="spellEnd"/>
      <w:r w:rsidRPr="00576785">
        <w:rPr>
          <w:color w:val="000000"/>
          <w:sz w:val="20"/>
          <w:szCs w:val="20"/>
        </w:rPr>
        <w:t xml:space="preserve"> (</w:t>
      </w:r>
      <w:proofErr w:type="gramStart"/>
      <w:r w:rsidRPr="00576785">
        <w:rPr>
          <w:color w:val="000000"/>
          <w:sz w:val="20"/>
          <w:szCs w:val="20"/>
        </w:rPr>
        <w:t>2018a</w:t>
      </w:r>
      <w:proofErr w:type="gramEnd"/>
      <w:r w:rsidRPr="00576785">
        <w:rPr>
          <w:color w:val="000000"/>
          <w:sz w:val="20"/>
          <w:szCs w:val="20"/>
        </w:rPr>
        <w:t xml:space="preserve">). </w:t>
      </w:r>
      <w:proofErr w:type="spellStart"/>
      <w:r w:rsidRPr="00576785">
        <w:rPr>
          <w:color w:val="000000"/>
          <w:sz w:val="20"/>
          <w:szCs w:val="20"/>
        </w:rPr>
        <w:t>Norad's</w:t>
      </w:r>
      <w:proofErr w:type="spellEnd"/>
      <w:r w:rsidRPr="00576785">
        <w:rPr>
          <w:color w:val="000000"/>
          <w:sz w:val="20"/>
          <w:szCs w:val="20"/>
        </w:rPr>
        <w:t xml:space="preserve"> Support to Civil Society: </w:t>
      </w:r>
      <w:proofErr w:type="spellStart"/>
      <w:r w:rsidRPr="00576785">
        <w:rPr>
          <w:color w:val="000000"/>
          <w:sz w:val="20"/>
          <w:szCs w:val="20"/>
        </w:rPr>
        <w:t>Guiding</w:t>
      </w:r>
      <w:proofErr w:type="spellEnd"/>
      <w:r w:rsidRPr="00576785">
        <w:rPr>
          <w:color w:val="000000"/>
          <w:sz w:val="20"/>
          <w:szCs w:val="20"/>
        </w:rPr>
        <w:t xml:space="preserve"> </w:t>
      </w:r>
      <w:proofErr w:type="spellStart"/>
      <w:r w:rsidRPr="00576785">
        <w:rPr>
          <w:color w:val="000000"/>
          <w:sz w:val="20"/>
          <w:szCs w:val="20"/>
        </w:rPr>
        <w:t>Principles</w:t>
      </w:r>
      <w:proofErr w:type="spellEnd"/>
      <w:r w:rsidRPr="00576785">
        <w:rPr>
          <w:color w:val="000000"/>
          <w:sz w:val="20"/>
          <w:szCs w:val="20"/>
        </w:rPr>
        <w:t xml:space="preserve">, </w:t>
      </w:r>
      <w:proofErr w:type="spellStart"/>
      <w:r w:rsidRPr="00576785">
        <w:rPr>
          <w:color w:val="000000"/>
          <w:sz w:val="20"/>
          <w:szCs w:val="20"/>
        </w:rPr>
        <w:t>Norwegian</w:t>
      </w:r>
      <w:proofErr w:type="spellEnd"/>
      <w:r w:rsidRPr="00576785">
        <w:rPr>
          <w:color w:val="000000"/>
          <w:sz w:val="20"/>
          <w:szCs w:val="20"/>
        </w:rPr>
        <w:t xml:space="preserve"> </w:t>
      </w:r>
      <w:proofErr w:type="spellStart"/>
      <w:r w:rsidRPr="00576785">
        <w:rPr>
          <w:color w:val="000000"/>
          <w:sz w:val="20"/>
          <w:szCs w:val="20"/>
        </w:rPr>
        <w:t>Agency</w:t>
      </w:r>
      <w:proofErr w:type="spellEnd"/>
      <w:r w:rsidRPr="00576785">
        <w:rPr>
          <w:color w:val="000000"/>
          <w:sz w:val="20"/>
          <w:szCs w:val="20"/>
        </w:rPr>
        <w:t xml:space="preserve"> </w:t>
      </w:r>
      <w:proofErr w:type="spellStart"/>
      <w:r w:rsidRPr="00576785">
        <w:rPr>
          <w:color w:val="000000"/>
          <w:sz w:val="20"/>
          <w:szCs w:val="20"/>
        </w:rPr>
        <w:t>for</w:t>
      </w:r>
      <w:proofErr w:type="spellEnd"/>
      <w:r w:rsidRPr="00576785">
        <w:rPr>
          <w:color w:val="000000"/>
          <w:sz w:val="20"/>
          <w:szCs w:val="20"/>
        </w:rPr>
        <w:t xml:space="preserve"> Development Co-</w:t>
      </w:r>
      <w:proofErr w:type="spellStart"/>
      <w:r w:rsidRPr="00576785">
        <w:rPr>
          <w:color w:val="000000"/>
          <w:sz w:val="20"/>
          <w:szCs w:val="20"/>
        </w:rPr>
        <w:t>operation</w:t>
      </w:r>
      <w:proofErr w:type="spellEnd"/>
      <w:r w:rsidRPr="00576785">
        <w:rPr>
          <w:color w:val="000000"/>
          <w:sz w:val="20"/>
          <w:szCs w:val="20"/>
        </w:rPr>
        <w:t xml:space="preserve">, Oslo, </w:t>
      </w:r>
      <w:r w:rsidRPr="00426E05">
        <w:rPr>
          <w:color w:val="000000"/>
          <w:sz w:val="20"/>
          <w:szCs w:val="20"/>
        </w:rPr>
        <w:t xml:space="preserve">[online].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w:t>
      </w:r>
      <w:r>
        <w:rPr>
          <w:color w:val="000000"/>
          <w:sz w:val="20"/>
          <w:szCs w:val="20"/>
        </w:rPr>
        <w:t xml:space="preserve"> </w:t>
      </w:r>
      <w:hyperlink r:id="rId74" w:history="1">
        <w:r w:rsidRPr="00A405CF">
          <w:rPr>
            <w:rStyle w:val="Hypertextovodkaz"/>
            <w:sz w:val="20"/>
            <w:szCs w:val="20"/>
          </w:rPr>
          <w:t>https://www.norad.no/en/toolspublications/publications/2018/norads-support-to-civil-society---guiding-principles/</w:t>
        </w:r>
      </w:hyperlink>
      <w:r>
        <w:t xml:space="preserve">.  </w:t>
      </w:r>
    </w:p>
    <w:p w14:paraId="2557E875" w14:textId="0C2DFDA2" w:rsidR="00DA7E0D" w:rsidRPr="00426E05" w:rsidRDefault="00DA7E0D" w:rsidP="00426E05">
      <w:pPr>
        <w:spacing w:before="80" w:after="80"/>
        <w:rPr>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(online). OECD </w:t>
      </w:r>
      <w:proofErr w:type="spellStart"/>
      <w:r w:rsidRPr="00426E05">
        <w:rPr>
          <w:sz w:val="20"/>
          <w:szCs w:val="22"/>
        </w:rPr>
        <w:t>iLibrary</w:t>
      </w:r>
      <w:proofErr w:type="spellEnd"/>
      <w:r w:rsidRPr="00426E05">
        <w:rPr>
          <w:sz w:val="20"/>
          <w:szCs w:val="22"/>
        </w:rPr>
        <w:t>.  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Dostupné na </w:t>
      </w:r>
      <w:hyperlink r:id="rId75">
        <w:r w:rsidRPr="00426E05">
          <w:rPr>
            <w:rStyle w:val="Hypertextovodkaz"/>
            <w:rFonts w:eastAsia="Calibri"/>
            <w:sz w:val="20"/>
            <w:szCs w:val="22"/>
          </w:rPr>
          <w:t xml:space="preserve">OECD </w:t>
        </w:r>
        <w:proofErr w:type="spellStart"/>
        <w:r w:rsidRPr="00426E05">
          <w:rPr>
            <w:rStyle w:val="Hypertextovodkaz"/>
            <w:rFonts w:eastAsia="Calibri"/>
            <w:sz w:val="20"/>
            <w:szCs w:val="22"/>
          </w:rPr>
          <w:t>iLibrary</w:t>
        </w:r>
        <w:proofErr w:type="spellEnd"/>
        <w:r w:rsidRPr="00426E05">
          <w:rPr>
            <w:rStyle w:val="Hypertextovodkaz"/>
            <w:rFonts w:eastAsia="Calibri"/>
            <w:sz w:val="20"/>
            <w:szCs w:val="22"/>
          </w:rPr>
          <w:t xml:space="preserve"> | OECD Development Co-</w:t>
        </w:r>
        <w:proofErr w:type="spellStart"/>
        <w:r w:rsidRPr="00426E05">
          <w:rPr>
            <w:rStyle w:val="Hypertextovodkaz"/>
            <w:rFonts w:eastAsia="Calibri"/>
            <w:sz w:val="20"/>
            <w:szCs w:val="22"/>
          </w:rPr>
          <w:t>operation</w:t>
        </w:r>
        <w:proofErr w:type="spellEnd"/>
        <w:r w:rsidRPr="00426E05">
          <w:rPr>
            <w:rStyle w:val="Hypertextovodkaz"/>
            <w:rFonts w:eastAsia="Calibri"/>
            <w:sz w:val="20"/>
            <w:szCs w:val="22"/>
          </w:rPr>
          <w:t xml:space="preserve"> Peer </w:t>
        </w:r>
        <w:proofErr w:type="spellStart"/>
        <w:r w:rsidRPr="00426E05">
          <w:rPr>
            <w:rStyle w:val="Hypertextovodkaz"/>
            <w:rFonts w:eastAsia="Calibri"/>
            <w:sz w:val="20"/>
            <w:szCs w:val="22"/>
          </w:rPr>
          <w:t>Reviews</w:t>
        </w:r>
        <w:proofErr w:type="spellEnd"/>
        <w:r w:rsidRPr="00426E05">
          <w:rPr>
            <w:rStyle w:val="Hypertextovodkaz"/>
            <w:rFonts w:eastAsia="Calibri"/>
            <w:sz w:val="20"/>
            <w:szCs w:val="22"/>
          </w:rPr>
          <w:t xml:space="preserve"> (oecd-ilibrary.org)</w:t>
        </w:r>
      </w:hyperlink>
    </w:p>
    <w:p w14:paraId="387D8B79" w14:textId="77777777" w:rsidR="00DA7E0D" w:rsidRPr="00426E05" w:rsidRDefault="00DA7E0D" w:rsidP="00426E05">
      <w:pPr>
        <w:spacing w:before="80" w:after="80"/>
        <w:rPr>
          <w:color w:val="000000" w:themeColor="text1"/>
          <w:sz w:val="20"/>
          <w:szCs w:val="22"/>
        </w:rPr>
      </w:pPr>
      <w:r w:rsidRPr="00426E05">
        <w:rPr>
          <w:color w:val="000000" w:themeColor="text1"/>
          <w:sz w:val="20"/>
          <w:szCs w:val="22"/>
        </w:rPr>
        <w:t>OECD Development Co‑</w:t>
      </w:r>
      <w:proofErr w:type="spellStart"/>
      <w:r w:rsidRPr="00426E05">
        <w:rPr>
          <w:color w:val="000000" w:themeColor="text1"/>
          <w:sz w:val="20"/>
          <w:szCs w:val="22"/>
        </w:rPr>
        <w:t>operation</w:t>
      </w:r>
      <w:proofErr w:type="spellEnd"/>
      <w:r w:rsidRPr="00426E05">
        <w:rPr>
          <w:color w:val="000000" w:themeColor="text1"/>
          <w:sz w:val="20"/>
          <w:szCs w:val="22"/>
        </w:rPr>
        <w:t xml:space="preserve"> Peer </w:t>
      </w:r>
      <w:proofErr w:type="spellStart"/>
      <w:r w:rsidRPr="00426E05">
        <w:rPr>
          <w:color w:val="000000" w:themeColor="text1"/>
          <w:sz w:val="20"/>
          <w:szCs w:val="22"/>
        </w:rPr>
        <w:t>Reviews</w:t>
      </w:r>
      <w:proofErr w:type="spellEnd"/>
      <w:r w:rsidRPr="00426E05">
        <w:rPr>
          <w:color w:val="000000" w:themeColor="text1"/>
          <w:sz w:val="20"/>
          <w:szCs w:val="22"/>
        </w:rPr>
        <w:t xml:space="preserve">: </w:t>
      </w:r>
      <w:proofErr w:type="spellStart"/>
      <w:r w:rsidRPr="00426E05">
        <w:rPr>
          <w:color w:val="000000" w:themeColor="text1"/>
          <w:sz w:val="20"/>
          <w:szCs w:val="22"/>
        </w:rPr>
        <w:t>Belgium</w:t>
      </w:r>
      <w:proofErr w:type="spellEnd"/>
      <w:r w:rsidRPr="00426E05">
        <w:rPr>
          <w:color w:val="000000" w:themeColor="text1"/>
          <w:sz w:val="20"/>
          <w:szCs w:val="22"/>
        </w:rPr>
        <w:t xml:space="preserve">. (2020). Dostupné na </w:t>
      </w:r>
      <w:hyperlink r:id="rId76">
        <w:r w:rsidRPr="00426E05">
          <w:rPr>
            <w:rStyle w:val="Hypertextovodkaz"/>
            <w:sz w:val="20"/>
            <w:szCs w:val="22"/>
          </w:rPr>
          <w:t>https://www.oecd-ilibrary.org/development/oecd-development-co-operation-peer-reviews_23097132</w:t>
        </w:r>
      </w:hyperlink>
    </w:p>
    <w:p w14:paraId="435C78EC" w14:textId="77777777" w:rsidR="00DA7E0D" w:rsidRPr="00426E05" w:rsidRDefault="00DA7E0D" w:rsidP="00426E05">
      <w:pPr>
        <w:spacing w:before="80" w:after="80"/>
        <w:rPr>
          <w:color w:val="000000" w:themeColor="text1"/>
          <w:sz w:val="20"/>
          <w:szCs w:val="22"/>
        </w:rPr>
      </w:pPr>
      <w:r w:rsidRPr="00426E05">
        <w:rPr>
          <w:color w:val="000000" w:themeColor="text1"/>
          <w:sz w:val="20"/>
          <w:szCs w:val="22"/>
        </w:rPr>
        <w:lastRenderedPageBreak/>
        <w:t>OECD Development Co‑</w:t>
      </w:r>
      <w:proofErr w:type="spellStart"/>
      <w:r w:rsidRPr="00426E05">
        <w:rPr>
          <w:color w:val="000000" w:themeColor="text1"/>
          <w:sz w:val="20"/>
          <w:szCs w:val="22"/>
        </w:rPr>
        <w:t>operation</w:t>
      </w:r>
      <w:proofErr w:type="spellEnd"/>
      <w:r w:rsidRPr="00426E05">
        <w:rPr>
          <w:color w:val="000000" w:themeColor="text1"/>
          <w:sz w:val="20"/>
          <w:szCs w:val="22"/>
        </w:rPr>
        <w:t xml:space="preserve"> Peer </w:t>
      </w:r>
      <w:proofErr w:type="spellStart"/>
      <w:r w:rsidRPr="00426E05">
        <w:rPr>
          <w:color w:val="000000" w:themeColor="text1"/>
          <w:sz w:val="20"/>
          <w:szCs w:val="22"/>
        </w:rPr>
        <w:t>Reviews</w:t>
      </w:r>
      <w:proofErr w:type="spellEnd"/>
      <w:r w:rsidRPr="00426E05">
        <w:rPr>
          <w:color w:val="000000" w:themeColor="text1"/>
          <w:sz w:val="20"/>
          <w:szCs w:val="22"/>
        </w:rPr>
        <w:t xml:space="preserve">: </w:t>
      </w:r>
      <w:proofErr w:type="spellStart"/>
      <w:r w:rsidRPr="00426E05">
        <w:rPr>
          <w:color w:val="000000" w:themeColor="text1"/>
          <w:sz w:val="20"/>
          <w:szCs w:val="22"/>
        </w:rPr>
        <w:t>Canada</w:t>
      </w:r>
      <w:proofErr w:type="spellEnd"/>
      <w:r w:rsidRPr="00426E05">
        <w:rPr>
          <w:color w:val="000000" w:themeColor="text1"/>
          <w:sz w:val="20"/>
          <w:szCs w:val="22"/>
        </w:rPr>
        <w:t xml:space="preserve">. (2018). Dostupné na </w:t>
      </w:r>
      <w:hyperlink r:id="rId77">
        <w:r w:rsidRPr="00426E05">
          <w:rPr>
            <w:rStyle w:val="Hypertextovodkaz"/>
            <w:sz w:val="20"/>
            <w:szCs w:val="22"/>
          </w:rPr>
          <w:t>https://www.oecd-ilibrary.org/development/oecd-development-co-operation-peer-reviews_23097132</w:t>
        </w:r>
      </w:hyperlink>
    </w:p>
    <w:p w14:paraId="4D97D904" w14:textId="77777777" w:rsidR="00DA7E0D" w:rsidRPr="00426E05" w:rsidRDefault="005857C4" w:rsidP="00426E05">
      <w:pPr>
        <w:spacing w:before="80" w:after="80"/>
        <w:rPr>
          <w:color w:val="000000" w:themeColor="text1"/>
          <w:sz w:val="20"/>
          <w:szCs w:val="22"/>
        </w:rPr>
      </w:pPr>
      <w:hyperlink r:id="rId78">
        <w:r w:rsidR="00DA7E0D" w:rsidRPr="00426E05">
          <w:rPr>
            <w:rStyle w:val="Hypertextovodkaz"/>
            <w:sz w:val="20"/>
            <w:szCs w:val="22"/>
          </w:rPr>
          <w:t>OECD Development Co-operation Peer Reviews: Czech Republic (2016</w:t>
        </w:r>
      </w:hyperlink>
      <w:r w:rsidR="00DA7E0D" w:rsidRPr="00426E05">
        <w:rPr>
          <w:color w:val="000000" w:themeColor="text1"/>
          <w:sz w:val="20"/>
          <w:szCs w:val="22"/>
        </w:rPr>
        <w:t xml:space="preserve">). Dostupné na </w:t>
      </w:r>
      <w:hyperlink r:id="rId79">
        <w:r w:rsidR="00DA7E0D" w:rsidRPr="00426E05">
          <w:rPr>
            <w:rStyle w:val="Hypertextovodkaz"/>
            <w:sz w:val="20"/>
            <w:szCs w:val="22"/>
          </w:rPr>
          <w:t>https://www.oecd-ilibrary.org/development/oecd-development-co-operation-peer-reviews_23097132</w:t>
        </w:r>
      </w:hyperlink>
    </w:p>
    <w:p w14:paraId="556D3BC7" w14:textId="77777777" w:rsidR="00DA7E0D" w:rsidRPr="00426E05" w:rsidRDefault="00DA7E0D" w:rsidP="00426E05">
      <w:pPr>
        <w:spacing w:before="80" w:after="80"/>
        <w:rPr>
          <w:color w:val="0563C1"/>
          <w:sz w:val="20"/>
          <w:szCs w:val="22"/>
        </w:rPr>
      </w:pPr>
      <w:r w:rsidRPr="00426E05">
        <w:rPr>
          <w:color w:val="000000" w:themeColor="text1"/>
          <w:sz w:val="20"/>
          <w:szCs w:val="22"/>
        </w:rPr>
        <w:t>OECD Development Co‑</w:t>
      </w:r>
      <w:proofErr w:type="spellStart"/>
      <w:r w:rsidRPr="00426E05">
        <w:rPr>
          <w:color w:val="000000" w:themeColor="text1"/>
          <w:sz w:val="20"/>
          <w:szCs w:val="22"/>
        </w:rPr>
        <w:t>operation</w:t>
      </w:r>
      <w:proofErr w:type="spellEnd"/>
      <w:r w:rsidRPr="00426E05">
        <w:rPr>
          <w:color w:val="000000" w:themeColor="text1"/>
          <w:sz w:val="20"/>
          <w:szCs w:val="22"/>
        </w:rPr>
        <w:t xml:space="preserve"> Peer </w:t>
      </w:r>
      <w:proofErr w:type="spellStart"/>
      <w:r w:rsidRPr="00426E05">
        <w:rPr>
          <w:color w:val="000000" w:themeColor="text1"/>
          <w:sz w:val="20"/>
          <w:szCs w:val="22"/>
        </w:rPr>
        <w:t>Reviews</w:t>
      </w:r>
      <w:proofErr w:type="spellEnd"/>
      <w:r w:rsidRPr="00426E05">
        <w:rPr>
          <w:color w:val="000000" w:themeColor="text1"/>
          <w:sz w:val="20"/>
          <w:szCs w:val="22"/>
        </w:rPr>
        <w:t xml:space="preserve">: </w:t>
      </w:r>
      <w:proofErr w:type="spellStart"/>
      <w:r w:rsidRPr="00426E05">
        <w:rPr>
          <w:color w:val="000000" w:themeColor="text1"/>
          <w:sz w:val="20"/>
          <w:szCs w:val="22"/>
        </w:rPr>
        <w:t>Finland</w:t>
      </w:r>
      <w:proofErr w:type="spellEnd"/>
      <w:r w:rsidRPr="00426E05">
        <w:rPr>
          <w:color w:val="000000" w:themeColor="text1"/>
          <w:sz w:val="20"/>
          <w:szCs w:val="22"/>
        </w:rPr>
        <w:t xml:space="preserve">. (2017). Dostupné na </w:t>
      </w:r>
      <w:hyperlink r:id="rId80">
        <w:r w:rsidRPr="00426E05">
          <w:rPr>
            <w:rStyle w:val="Hypertextovodkaz"/>
            <w:sz w:val="20"/>
            <w:szCs w:val="22"/>
          </w:rPr>
          <w:t>https://www.oecd-ilibrary.org/development/oecd-development-co-operation-peer-reviews_23097132</w:t>
        </w:r>
      </w:hyperlink>
    </w:p>
    <w:p w14:paraId="5A9B2C84" w14:textId="77777777" w:rsidR="00DA7E0D" w:rsidRPr="00426E05" w:rsidRDefault="00DA7E0D" w:rsidP="00426E05">
      <w:pPr>
        <w:spacing w:before="80" w:after="80"/>
        <w:rPr>
          <w:rStyle w:val="Hypertextovodkaz"/>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Germany. (2021). </w:t>
      </w:r>
      <w:r w:rsidRPr="00426E05">
        <w:rPr>
          <w:color w:val="000000" w:themeColor="text1"/>
          <w:sz w:val="20"/>
          <w:szCs w:val="22"/>
        </w:rPr>
        <w:t xml:space="preserve">Dostupné na </w:t>
      </w:r>
      <w:hyperlink r:id="rId81">
        <w:r w:rsidRPr="00426E05">
          <w:rPr>
            <w:rStyle w:val="Hypertextovodkaz"/>
            <w:sz w:val="20"/>
            <w:szCs w:val="22"/>
          </w:rPr>
          <w:t>https://www.oecd-ilibrary.org/development/oecd-development-co-operation-peer-reviews_23097132</w:t>
        </w:r>
      </w:hyperlink>
    </w:p>
    <w:p w14:paraId="0E079B06" w14:textId="77777777" w:rsidR="00DA7E0D" w:rsidRPr="00426E05" w:rsidRDefault="00DA7E0D" w:rsidP="00426E05">
      <w:pPr>
        <w:spacing w:before="80" w:after="80"/>
        <w:rPr>
          <w:color w:val="0563C1"/>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w:t>
      </w:r>
      <w:proofErr w:type="spellStart"/>
      <w:r w:rsidRPr="00426E05">
        <w:rPr>
          <w:sz w:val="20"/>
          <w:szCs w:val="22"/>
        </w:rPr>
        <w:t>Ireland</w:t>
      </w:r>
      <w:proofErr w:type="spellEnd"/>
      <w:r w:rsidRPr="00426E05">
        <w:rPr>
          <w:sz w:val="20"/>
          <w:szCs w:val="22"/>
        </w:rPr>
        <w:t xml:space="preserve">. (2020). </w:t>
      </w:r>
      <w:r w:rsidRPr="00426E05">
        <w:rPr>
          <w:color w:val="000000" w:themeColor="text1"/>
          <w:sz w:val="20"/>
          <w:szCs w:val="22"/>
        </w:rPr>
        <w:t xml:space="preserve">Dostupné na </w:t>
      </w:r>
      <w:hyperlink r:id="rId82">
        <w:r w:rsidRPr="00426E05">
          <w:rPr>
            <w:rStyle w:val="Hypertextovodkaz"/>
            <w:sz w:val="20"/>
            <w:szCs w:val="22"/>
          </w:rPr>
          <w:t>https://www.oecd-ilibrary.org/development/oecd-development-co-operation-peer-reviews_23097132</w:t>
        </w:r>
      </w:hyperlink>
    </w:p>
    <w:p w14:paraId="54D2EB34" w14:textId="77777777" w:rsidR="00DA7E0D" w:rsidRPr="00426E05" w:rsidRDefault="00DA7E0D" w:rsidP="00426E05">
      <w:pPr>
        <w:spacing w:before="80" w:after="80"/>
        <w:rPr>
          <w:color w:val="0563C1"/>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Italy. (2019). </w:t>
      </w:r>
      <w:r w:rsidRPr="00426E05">
        <w:rPr>
          <w:color w:val="000000" w:themeColor="text1"/>
          <w:sz w:val="20"/>
          <w:szCs w:val="22"/>
        </w:rPr>
        <w:t xml:space="preserve">Dostupné na </w:t>
      </w:r>
      <w:hyperlink r:id="rId83">
        <w:r w:rsidRPr="00426E05">
          <w:rPr>
            <w:rStyle w:val="Hypertextovodkaz"/>
            <w:sz w:val="20"/>
            <w:szCs w:val="22"/>
          </w:rPr>
          <w:t>https://www.oecd-ilibrary.org/development/oecd-development-co-operation-peer-reviews_23097132</w:t>
        </w:r>
      </w:hyperlink>
    </w:p>
    <w:p w14:paraId="3A96024F" w14:textId="77777777" w:rsidR="00DA7E0D" w:rsidRPr="00426E05" w:rsidRDefault="00DA7E0D" w:rsidP="00426E05">
      <w:pPr>
        <w:spacing w:before="80" w:after="80"/>
        <w:rPr>
          <w:color w:val="0563C1"/>
          <w:sz w:val="20"/>
          <w:szCs w:val="22"/>
        </w:rPr>
      </w:pPr>
      <w:r w:rsidRPr="00426E05">
        <w:rPr>
          <w:color w:val="000000" w:themeColor="text1"/>
          <w:sz w:val="20"/>
          <w:szCs w:val="22"/>
        </w:rPr>
        <w:t>OECD Development Co‑</w:t>
      </w:r>
      <w:proofErr w:type="spellStart"/>
      <w:r w:rsidRPr="00426E05">
        <w:rPr>
          <w:color w:val="000000" w:themeColor="text1"/>
          <w:sz w:val="20"/>
          <w:szCs w:val="22"/>
        </w:rPr>
        <w:t>operation</w:t>
      </w:r>
      <w:proofErr w:type="spellEnd"/>
      <w:r w:rsidRPr="00426E05">
        <w:rPr>
          <w:color w:val="000000" w:themeColor="text1"/>
          <w:sz w:val="20"/>
          <w:szCs w:val="22"/>
        </w:rPr>
        <w:t xml:space="preserve"> Peer </w:t>
      </w:r>
      <w:proofErr w:type="spellStart"/>
      <w:r w:rsidRPr="00426E05">
        <w:rPr>
          <w:color w:val="000000" w:themeColor="text1"/>
          <w:sz w:val="20"/>
          <w:szCs w:val="22"/>
        </w:rPr>
        <w:t>Reviews</w:t>
      </w:r>
      <w:proofErr w:type="spellEnd"/>
      <w:r w:rsidRPr="00426E05">
        <w:rPr>
          <w:color w:val="000000" w:themeColor="text1"/>
          <w:sz w:val="20"/>
          <w:szCs w:val="22"/>
        </w:rPr>
        <w:t xml:space="preserve">: </w:t>
      </w:r>
      <w:proofErr w:type="spellStart"/>
      <w:r w:rsidRPr="00426E05">
        <w:rPr>
          <w:color w:val="000000" w:themeColor="text1"/>
          <w:sz w:val="20"/>
          <w:szCs w:val="22"/>
        </w:rPr>
        <w:t>Netherlands</w:t>
      </w:r>
      <w:proofErr w:type="spellEnd"/>
      <w:r w:rsidRPr="00426E05">
        <w:rPr>
          <w:color w:val="000000" w:themeColor="text1"/>
          <w:sz w:val="20"/>
          <w:szCs w:val="22"/>
        </w:rPr>
        <w:t xml:space="preserve">. (2017). Dostupné na </w:t>
      </w:r>
      <w:hyperlink r:id="rId84">
        <w:r w:rsidRPr="00426E05">
          <w:rPr>
            <w:rStyle w:val="Hypertextovodkaz"/>
            <w:sz w:val="20"/>
            <w:szCs w:val="22"/>
          </w:rPr>
          <w:t>https://www.oecd-ilibrary.org/development/oecd-development-co-operation-peer-reviews_23097132</w:t>
        </w:r>
      </w:hyperlink>
    </w:p>
    <w:p w14:paraId="27E35110" w14:textId="77777777" w:rsidR="00DA7E0D" w:rsidRPr="00426E05" w:rsidRDefault="00DA7E0D" w:rsidP="00426E05">
      <w:pPr>
        <w:spacing w:before="80" w:after="80"/>
        <w:rPr>
          <w:color w:val="0563C1"/>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w:t>
      </w:r>
      <w:proofErr w:type="spellStart"/>
      <w:r w:rsidRPr="00426E05">
        <w:rPr>
          <w:sz w:val="20"/>
          <w:szCs w:val="22"/>
        </w:rPr>
        <w:t>Norway</w:t>
      </w:r>
      <w:proofErr w:type="spellEnd"/>
      <w:r w:rsidRPr="00426E05">
        <w:rPr>
          <w:sz w:val="20"/>
          <w:szCs w:val="22"/>
        </w:rPr>
        <w:t xml:space="preserve">. (2019). </w:t>
      </w:r>
      <w:r w:rsidRPr="00426E05">
        <w:rPr>
          <w:color w:val="000000" w:themeColor="text1"/>
          <w:sz w:val="20"/>
          <w:szCs w:val="22"/>
        </w:rPr>
        <w:t xml:space="preserve">Dostupné na </w:t>
      </w:r>
      <w:hyperlink r:id="rId85">
        <w:r w:rsidRPr="00426E05">
          <w:rPr>
            <w:rStyle w:val="Hypertextovodkaz"/>
            <w:sz w:val="20"/>
            <w:szCs w:val="22"/>
          </w:rPr>
          <w:t>https://www.oecd-ilibrary.org/development/oecd-development-co-operation-peer-reviews_23097132</w:t>
        </w:r>
      </w:hyperlink>
    </w:p>
    <w:p w14:paraId="56A9ADC6" w14:textId="77777777" w:rsidR="00DA7E0D" w:rsidRPr="00426E05" w:rsidRDefault="00DA7E0D" w:rsidP="00426E05">
      <w:pPr>
        <w:spacing w:before="80" w:after="80"/>
        <w:rPr>
          <w:color w:val="0563C1"/>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w:t>
      </w:r>
      <w:proofErr w:type="spellStart"/>
      <w:r w:rsidRPr="00426E05">
        <w:rPr>
          <w:sz w:val="20"/>
          <w:szCs w:val="22"/>
        </w:rPr>
        <w:t>Slovenia</w:t>
      </w:r>
      <w:proofErr w:type="spellEnd"/>
      <w:r w:rsidRPr="00426E05">
        <w:rPr>
          <w:sz w:val="20"/>
          <w:szCs w:val="22"/>
        </w:rPr>
        <w:t xml:space="preserve">. (2017). </w:t>
      </w:r>
      <w:r w:rsidRPr="00426E05">
        <w:rPr>
          <w:color w:val="000000" w:themeColor="text1"/>
          <w:sz w:val="20"/>
          <w:szCs w:val="22"/>
        </w:rPr>
        <w:t xml:space="preserve">Dostupné na </w:t>
      </w:r>
      <w:hyperlink r:id="rId86">
        <w:r w:rsidRPr="00426E05">
          <w:rPr>
            <w:rStyle w:val="Hypertextovodkaz"/>
            <w:sz w:val="20"/>
            <w:szCs w:val="22"/>
          </w:rPr>
          <w:t>https://www.oecd-ilibrary.org/development/oecd-development-co-operation-peer-reviews_23097132</w:t>
        </w:r>
      </w:hyperlink>
    </w:p>
    <w:p w14:paraId="467C7266" w14:textId="77777777" w:rsidR="00DA7E0D" w:rsidRPr="00426E05" w:rsidRDefault="00DA7E0D" w:rsidP="00426E05">
      <w:pPr>
        <w:spacing w:before="80" w:after="80"/>
        <w:rPr>
          <w:color w:val="0563C1"/>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w:t>
      </w:r>
      <w:proofErr w:type="spellStart"/>
      <w:r w:rsidRPr="00426E05">
        <w:rPr>
          <w:sz w:val="20"/>
          <w:szCs w:val="22"/>
        </w:rPr>
        <w:t>Sweden</w:t>
      </w:r>
      <w:proofErr w:type="spellEnd"/>
      <w:r w:rsidRPr="00426E05">
        <w:rPr>
          <w:sz w:val="20"/>
          <w:szCs w:val="22"/>
        </w:rPr>
        <w:t xml:space="preserve">. (2019). </w:t>
      </w:r>
      <w:r w:rsidRPr="00426E05">
        <w:rPr>
          <w:color w:val="000000" w:themeColor="text1"/>
          <w:sz w:val="20"/>
          <w:szCs w:val="22"/>
        </w:rPr>
        <w:t xml:space="preserve">Dostupné na </w:t>
      </w:r>
      <w:hyperlink r:id="rId87">
        <w:r w:rsidRPr="00426E05">
          <w:rPr>
            <w:rStyle w:val="Hypertextovodkaz"/>
            <w:sz w:val="20"/>
            <w:szCs w:val="22"/>
          </w:rPr>
          <w:t>https://www.oecd-ilibrary.org/development/oecd-development-co-operation-peer-reviews_23097132</w:t>
        </w:r>
      </w:hyperlink>
    </w:p>
    <w:p w14:paraId="2F3D9B5B" w14:textId="2EFCAB80" w:rsidR="00DA7E0D" w:rsidRDefault="00DA7E0D" w:rsidP="00426E05">
      <w:pPr>
        <w:spacing w:before="80" w:after="80"/>
        <w:rPr>
          <w:rStyle w:val="Hypertextovodkaz"/>
          <w:sz w:val="20"/>
          <w:szCs w:val="22"/>
        </w:rPr>
      </w:pPr>
      <w:r w:rsidRPr="00426E05">
        <w:rPr>
          <w:sz w:val="20"/>
          <w:szCs w:val="22"/>
        </w:rPr>
        <w:t>OECD Development Co‑</w:t>
      </w:r>
      <w:proofErr w:type="spellStart"/>
      <w:r w:rsidRPr="00426E05">
        <w:rPr>
          <w:sz w:val="20"/>
          <w:szCs w:val="22"/>
        </w:rPr>
        <w:t>operation</w:t>
      </w:r>
      <w:proofErr w:type="spellEnd"/>
      <w:r w:rsidRPr="00426E05">
        <w:rPr>
          <w:sz w:val="20"/>
          <w:szCs w:val="22"/>
        </w:rPr>
        <w:t xml:space="preserve"> Peer </w:t>
      </w:r>
      <w:proofErr w:type="spellStart"/>
      <w:r w:rsidRPr="00426E05">
        <w:rPr>
          <w:sz w:val="20"/>
          <w:szCs w:val="22"/>
        </w:rPr>
        <w:t>Reviews</w:t>
      </w:r>
      <w:proofErr w:type="spellEnd"/>
      <w:r w:rsidRPr="00426E05">
        <w:rPr>
          <w:sz w:val="20"/>
          <w:szCs w:val="22"/>
        </w:rPr>
        <w:t xml:space="preserve">: United </w:t>
      </w:r>
      <w:proofErr w:type="spellStart"/>
      <w:r w:rsidRPr="00426E05">
        <w:rPr>
          <w:sz w:val="20"/>
          <w:szCs w:val="22"/>
        </w:rPr>
        <w:t>Kingdom</w:t>
      </w:r>
      <w:proofErr w:type="spellEnd"/>
      <w:r w:rsidRPr="00426E05">
        <w:rPr>
          <w:sz w:val="20"/>
          <w:szCs w:val="22"/>
        </w:rPr>
        <w:t xml:space="preserve">. (2020). </w:t>
      </w:r>
      <w:r w:rsidRPr="00426E05">
        <w:rPr>
          <w:color w:val="000000" w:themeColor="text1"/>
          <w:sz w:val="20"/>
          <w:szCs w:val="22"/>
        </w:rPr>
        <w:t xml:space="preserve">Dostupné na </w:t>
      </w:r>
      <w:hyperlink r:id="rId88">
        <w:r w:rsidRPr="00426E05">
          <w:rPr>
            <w:rStyle w:val="Hypertextovodkaz"/>
            <w:sz w:val="20"/>
            <w:szCs w:val="22"/>
          </w:rPr>
          <w:t>https://www.oecd-ilibrary.org/development/oecd-development-co-operation-peer-reviews_23097132</w:t>
        </w:r>
      </w:hyperlink>
    </w:p>
    <w:p w14:paraId="3868FEFB" w14:textId="77777777" w:rsidR="00426E05" w:rsidRPr="00426E05" w:rsidRDefault="00426E05" w:rsidP="00426E05">
      <w:pPr>
        <w:shd w:val="clear" w:color="auto" w:fill="FFFFFF"/>
        <w:spacing w:before="80" w:after="80"/>
        <w:rPr>
          <w:color w:val="000000"/>
          <w:sz w:val="20"/>
          <w:szCs w:val="20"/>
        </w:rPr>
      </w:pPr>
      <w:r w:rsidRPr="00426E05">
        <w:rPr>
          <w:color w:val="000000"/>
          <w:sz w:val="20"/>
          <w:szCs w:val="20"/>
        </w:rPr>
        <w:t>OECD (2016). </w:t>
      </w:r>
      <w:proofErr w:type="spellStart"/>
      <w:r w:rsidRPr="00426E05">
        <w:rPr>
          <w:i/>
          <w:iCs/>
          <w:color w:val="000000"/>
          <w:sz w:val="20"/>
          <w:szCs w:val="20"/>
        </w:rPr>
        <w:t>Private</w:t>
      </w:r>
      <w:proofErr w:type="spellEnd"/>
      <w:r w:rsidRPr="00426E05">
        <w:rPr>
          <w:i/>
          <w:iCs/>
          <w:color w:val="000000"/>
          <w:sz w:val="20"/>
          <w:szCs w:val="20"/>
        </w:rPr>
        <w:t xml:space="preserve"> </w:t>
      </w:r>
      <w:proofErr w:type="spellStart"/>
      <w:r w:rsidRPr="00426E05">
        <w:rPr>
          <w:i/>
          <w:iCs/>
          <w:color w:val="000000"/>
          <w:sz w:val="20"/>
          <w:szCs w:val="20"/>
        </w:rPr>
        <w:t>Sector</w:t>
      </w:r>
      <w:proofErr w:type="spellEnd"/>
      <w:r w:rsidRPr="00426E05">
        <w:rPr>
          <w:i/>
          <w:iCs/>
          <w:color w:val="000000"/>
          <w:sz w:val="20"/>
          <w:szCs w:val="20"/>
        </w:rPr>
        <w:t xml:space="preserve"> Peer Learning Country Report </w:t>
      </w:r>
      <w:proofErr w:type="spellStart"/>
      <w:r w:rsidRPr="00426E05">
        <w:rPr>
          <w:i/>
          <w:iCs/>
          <w:color w:val="000000"/>
          <w:sz w:val="20"/>
          <w:szCs w:val="20"/>
        </w:rPr>
        <w:t>Sweden</w:t>
      </w:r>
      <w:proofErr w:type="spellEnd"/>
      <w:r w:rsidRPr="00426E05">
        <w:rPr>
          <w:color w:val="000000"/>
          <w:sz w:val="20"/>
          <w:szCs w:val="20"/>
        </w:rPr>
        <w:t>. [online] </w:t>
      </w:r>
      <w:r w:rsidRPr="00426E05">
        <w:rPr>
          <w:i/>
          <w:iCs/>
          <w:color w:val="000000"/>
          <w:sz w:val="20"/>
          <w:szCs w:val="20"/>
        </w:rPr>
        <w:t>OECD</w:t>
      </w:r>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89" w:history="1">
        <w:r w:rsidRPr="00426E05">
          <w:rPr>
            <w:rStyle w:val="Hypertextovodkaz"/>
            <w:sz w:val="20"/>
            <w:szCs w:val="20"/>
          </w:rPr>
          <w:t>https://www.oecd.org/dac/peer-reviews/Peer-Learning-Country-Report-Sweden.pdf</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18 Jun. 2021].</w:t>
      </w:r>
    </w:p>
    <w:p w14:paraId="2A23F136" w14:textId="6226C916" w:rsidR="00426E05" w:rsidRDefault="00426E05" w:rsidP="00426E05">
      <w:pPr>
        <w:pStyle w:val="Odstavecseseznamem"/>
        <w:ind w:left="0"/>
        <w:rPr>
          <w:sz w:val="20"/>
          <w:szCs w:val="20"/>
        </w:rPr>
      </w:pPr>
      <w:proofErr w:type="spellStart"/>
      <w:r w:rsidRPr="00132A81">
        <w:rPr>
          <w:sz w:val="20"/>
          <w:szCs w:val="20"/>
        </w:rPr>
        <w:t>Pejcal</w:t>
      </w:r>
      <w:proofErr w:type="spellEnd"/>
      <w:r w:rsidRPr="00132A81">
        <w:rPr>
          <w:sz w:val="20"/>
          <w:szCs w:val="20"/>
        </w:rPr>
        <w:t xml:space="preserve">, J., Zetková, P. (2016): </w:t>
      </w:r>
      <w:proofErr w:type="spellStart"/>
      <w:r w:rsidRPr="00132A81">
        <w:rPr>
          <w:sz w:val="20"/>
          <w:szCs w:val="20"/>
          <w:lang w:val="en-US"/>
        </w:rPr>
        <w:t>Seminář</w:t>
      </w:r>
      <w:proofErr w:type="spellEnd"/>
      <w:r w:rsidRPr="00132A81">
        <w:rPr>
          <w:sz w:val="20"/>
          <w:szCs w:val="20"/>
          <w:lang w:val="en-US"/>
        </w:rPr>
        <w:t xml:space="preserve"> k </w:t>
      </w:r>
      <w:proofErr w:type="spellStart"/>
      <w:r w:rsidRPr="00132A81">
        <w:rPr>
          <w:sz w:val="20"/>
          <w:szCs w:val="20"/>
          <w:lang w:val="en-US"/>
        </w:rPr>
        <w:t>evaluacím</w:t>
      </w:r>
      <w:proofErr w:type="spellEnd"/>
      <w:r w:rsidRPr="00132A81">
        <w:rPr>
          <w:sz w:val="20"/>
          <w:szCs w:val="20"/>
          <w:lang w:val="en-US"/>
        </w:rPr>
        <w:t xml:space="preserve"> </w:t>
      </w:r>
      <w:proofErr w:type="spellStart"/>
      <w:r w:rsidRPr="00132A81">
        <w:rPr>
          <w:sz w:val="20"/>
          <w:szCs w:val="20"/>
          <w:lang w:val="en-US"/>
        </w:rPr>
        <w:t>projektů</w:t>
      </w:r>
      <w:proofErr w:type="spellEnd"/>
      <w:r w:rsidRPr="00132A81">
        <w:rPr>
          <w:sz w:val="20"/>
          <w:szCs w:val="20"/>
          <w:lang w:val="en-US"/>
        </w:rPr>
        <w:t xml:space="preserve"> </w:t>
      </w:r>
      <w:proofErr w:type="spellStart"/>
      <w:r w:rsidRPr="00132A81">
        <w:rPr>
          <w:sz w:val="20"/>
          <w:szCs w:val="20"/>
          <w:lang w:val="en-US"/>
        </w:rPr>
        <w:t>ve</w:t>
      </w:r>
      <w:proofErr w:type="spellEnd"/>
      <w:r w:rsidRPr="00132A81">
        <w:rPr>
          <w:sz w:val="20"/>
          <w:szCs w:val="20"/>
          <w:lang w:val="en-US"/>
        </w:rPr>
        <w:t xml:space="preserve"> </w:t>
      </w:r>
      <w:proofErr w:type="spellStart"/>
      <w:r w:rsidRPr="00132A81">
        <w:rPr>
          <w:sz w:val="20"/>
          <w:szCs w:val="20"/>
          <w:lang w:val="en-US"/>
        </w:rPr>
        <w:t>výzvě</w:t>
      </w:r>
      <w:proofErr w:type="spellEnd"/>
      <w:r w:rsidRPr="00132A81">
        <w:rPr>
          <w:sz w:val="20"/>
          <w:szCs w:val="20"/>
          <w:lang w:val="en-US"/>
        </w:rPr>
        <w:t xml:space="preserve"> č. 31. P</w:t>
      </w:r>
      <w:proofErr w:type="spellStart"/>
      <w:r w:rsidRPr="00132A81">
        <w:rPr>
          <w:sz w:val="20"/>
          <w:szCs w:val="20"/>
        </w:rPr>
        <w:t>rezentace</w:t>
      </w:r>
      <w:proofErr w:type="spellEnd"/>
      <w:r w:rsidRPr="00132A81">
        <w:rPr>
          <w:sz w:val="20"/>
          <w:szCs w:val="20"/>
        </w:rPr>
        <w:t xml:space="preserve"> ze dne 24.11.2016. Řídicí orgán OP Zaměstnanost.</w:t>
      </w:r>
    </w:p>
    <w:p w14:paraId="04FD377F" w14:textId="33894863" w:rsidR="00FA5383" w:rsidRPr="00426E05" w:rsidRDefault="00FA5383" w:rsidP="00426E05">
      <w:pPr>
        <w:pStyle w:val="Odstavecseseznamem"/>
        <w:ind w:left="0"/>
        <w:rPr>
          <w:sz w:val="20"/>
          <w:szCs w:val="20"/>
        </w:rPr>
      </w:pPr>
      <w:r w:rsidRPr="00FA5383">
        <w:rPr>
          <w:sz w:val="20"/>
          <w:szCs w:val="20"/>
        </w:rPr>
        <w:t xml:space="preserve">Smith, S.M., </w:t>
      </w:r>
      <w:proofErr w:type="spellStart"/>
      <w:r w:rsidRPr="00FA5383">
        <w:rPr>
          <w:sz w:val="20"/>
          <w:szCs w:val="20"/>
        </w:rPr>
        <w:t>Shepherd</w:t>
      </w:r>
      <w:proofErr w:type="spellEnd"/>
      <w:r w:rsidRPr="00FA5383">
        <w:rPr>
          <w:sz w:val="20"/>
          <w:szCs w:val="20"/>
        </w:rPr>
        <w:t xml:space="preserve">, D.D. and </w:t>
      </w:r>
      <w:proofErr w:type="spellStart"/>
      <w:r w:rsidRPr="00FA5383">
        <w:rPr>
          <w:sz w:val="20"/>
          <w:szCs w:val="20"/>
        </w:rPr>
        <w:t>Dorward</w:t>
      </w:r>
      <w:proofErr w:type="spellEnd"/>
      <w:r w:rsidRPr="00FA5383">
        <w:rPr>
          <w:sz w:val="20"/>
          <w:szCs w:val="20"/>
        </w:rPr>
        <w:t xml:space="preserve">, P.T. (2012). </w:t>
      </w:r>
      <w:proofErr w:type="spellStart"/>
      <w:r w:rsidRPr="000A0086">
        <w:rPr>
          <w:sz w:val="20"/>
          <w:szCs w:val="20"/>
        </w:rPr>
        <w:t>Perspectives</w:t>
      </w:r>
      <w:proofErr w:type="spellEnd"/>
      <w:r w:rsidRPr="000A0086">
        <w:rPr>
          <w:sz w:val="20"/>
          <w:szCs w:val="20"/>
        </w:rPr>
        <w:t xml:space="preserve"> on </w:t>
      </w:r>
      <w:proofErr w:type="spellStart"/>
      <w:r w:rsidRPr="000A0086">
        <w:rPr>
          <w:sz w:val="20"/>
          <w:szCs w:val="20"/>
        </w:rPr>
        <w:t>community</w:t>
      </w:r>
      <w:proofErr w:type="spellEnd"/>
      <w:r w:rsidRPr="000A0086">
        <w:rPr>
          <w:sz w:val="20"/>
          <w:szCs w:val="20"/>
        </w:rPr>
        <w:t xml:space="preserve"> </w:t>
      </w:r>
      <w:proofErr w:type="spellStart"/>
      <w:r w:rsidRPr="000A0086">
        <w:rPr>
          <w:sz w:val="20"/>
          <w:szCs w:val="20"/>
        </w:rPr>
        <w:t>representation</w:t>
      </w:r>
      <w:proofErr w:type="spellEnd"/>
      <w:r w:rsidRPr="000A0086">
        <w:rPr>
          <w:sz w:val="20"/>
          <w:szCs w:val="20"/>
        </w:rPr>
        <w:t xml:space="preserve"> </w:t>
      </w:r>
      <w:proofErr w:type="spellStart"/>
      <w:r w:rsidRPr="000A0086">
        <w:rPr>
          <w:sz w:val="20"/>
          <w:szCs w:val="20"/>
        </w:rPr>
        <w:t>within</w:t>
      </w:r>
      <w:proofErr w:type="spellEnd"/>
      <w:r w:rsidRPr="000A0086">
        <w:rPr>
          <w:sz w:val="20"/>
          <w:szCs w:val="20"/>
        </w:rPr>
        <w:t xml:space="preserve"> </w:t>
      </w:r>
      <w:proofErr w:type="spellStart"/>
      <w:r w:rsidRPr="000A0086">
        <w:rPr>
          <w:sz w:val="20"/>
          <w:szCs w:val="20"/>
        </w:rPr>
        <w:t>the</w:t>
      </w:r>
      <w:proofErr w:type="spellEnd"/>
      <w:r w:rsidRPr="000A0086">
        <w:rPr>
          <w:sz w:val="20"/>
          <w:szCs w:val="20"/>
        </w:rPr>
        <w:t xml:space="preserve"> </w:t>
      </w:r>
      <w:proofErr w:type="spellStart"/>
      <w:r w:rsidRPr="000A0086">
        <w:rPr>
          <w:sz w:val="20"/>
          <w:szCs w:val="20"/>
        </w:rPr>
        <w:t>Extractive</w:t>
      </w:r>
      <w:proofErr w:type="spellEnd"/>
      <w:r w:rsidRPr="000A0086">
        <w:rPr>
          <w:sz w:val="20"/>
          <w:szCs w:val="20"/>
        </w:rPr>
        <w:t xml:space="preserve"> </w:t>
      </w:r>
      <w:proofErr w:type="spellStart"/>
      <w:r w:rsidRPr="000A0086">
        <w:rPr>
          <w:sz w:val="20"/>
          <w:szCs w:val="20"/>
        </w:rPr>
        <w:t>Industries</w:t>
      </w:r>
      <w:proofErr w:type="spellEnd"/>
      <w:r w:rsidRPr="000A0086">
        <w:rPr>
          <w:sz w:val="20"/>
          <w:szCs w:val="20"/>
        </w:rPr>
        <w:t xml:space="preserve"> </w:t>
      </w:r>
      <w:proofErr w:type="spellStart"/>
      <w:r w:rsidRPr="000A0086">
        <w:rPr>
          <w:sz w:val="20"/>
          <w:szCs w:val="20"/>
        </w:rPr>
        <w:t>Transparency</w:t>
      </w:r>
      <w:proofErr w:type="spellEnd"/>
      <w:r w:rsidRPr="000A0086">
        <w:rPr>
          <w:sz w:val="20"/>
          <w:szCs w:val="20"/>
        </w:rPr>
        <w:t xml:space="preserve"> </w:t>
      </w:r>
      <w:proofErr w:type="spellStart"/>
      <w:r w:rsidRPr="000A0086">
        <w:rPr>
          <w:sz w:val="20"/>
          <w:szCs w:val="20"/>
        </w:rPr>
        <w:t>Initiative</w:t>
      </w:r>
      <w:proofErr w:type="spellEnd"/>
      <w:r w:rsidRPr="000A0086">
        <w:rPr>
          <w:sz w:val="20"/>
          <w:szCs w:val="20"/>
        </w:rPr>
        <w:t xml:space="preserve">: </w:t>
      </w:r>
      <w:proofErr w:type="spellStart"/>
      <w:r w:rsidRPr="000A0086">
        <w:rPr>
          <w:sz w:val="20"/>
          <w:szCs w:val="20"/>
        </w:rPr>
        <w:t>Experiences</w:t>
      </w:r>
      <w:proofErr w:type="spellEnd"/>
      <w:r w:rsidRPr="000A0086">
        <w:rPr>
          <w:sz w:val="20"/>
          <w:szCs w:val="20"/>
        </w:rPr>
        <w:t xml:space="preserve"> </w:t>
      </w:r>
      <w:proofErr w:type="spellStart"/>
      <w:r w:rsidRPr="000A0086">
        <w:rPr>
          <w:sz w:val="20"/>
          <w:szCs w:val="20"/>
        </w:rPr>
        <w:t>from</w:t>
      </w:r>
      <w:proofErr w:type="spellEnd"/>
      <w:r w:rsidRPr="000A0086">
        <w:rPr>
          <w:sz w:val="20"/>
          <w:szCs w:val="20"/>
        </w:rPr>
        <w:t xml:space="preserve"> </w:t>
      </w:r>
      <w:proofErr w:type="spellStart"/>
      <w:r w:rsidRPr="000A0086">
        <w:rPr>
          <w:sz w:val="20"/>
          <w:szCs w:val="20"/>
        </w:rPr>
        <w:t>south-east</w:t>
      </w:r>
      <w:proofErr w:type="spellEnd"/>
      <w:r w:rsidRPr="000A0086">
        <w:rPr>
          <w:sz w:val="20"/>
          <w:szCs w:val="20"/>
        </w:rPr>
        <w:t xml:space="preserve"> </w:t>
      </w:r>
      <w:proofErr w:type="spellStart"/>
      <w:r w:rsidRPr="000A0086">
        <w:rPr>
          <w:sz w:val="20"/>
          <w:szCs w:val="20"/>
        </w:rPr>
        <w:t>Madagascar</w:t>
      </w:r>
      <w:proofErr w:type="spellEnd"/>
      <w:r w:rsidRPr="000A0086">
        <w:rPr>
          <w:sz w:val="20"/>
          <w:szCs w:val="20"/>
        </w:rPr>
        <w:t>. </w:t>
      </w:r>
      <w:proofErr w:type="spellStart"/>
      <w:r w:rsidRPr="000A0086">
        <w:rPr>
          <w:sz w:val="20"/>
          <w:szCs w:val="20"/>
        </w:rPr>
        <w:t>Resources</w:t>
      </w:r>
      <w:proofErr w:type="spellEnd"/>
      <w:r w:rsidRPr="00FA5383">
        <w:rPr>
          <w:sz w:val="20"/>
          <w:szCs w:val="20"/>
        </w:rPr>
        <w:t xml:space="preserve"> </w:t>
      </w:r>
      <w:proofErr w:type="spellStart"/>
      <w:r w:rsidRPr="00FA5383">
        <w:rPr>
          <w:sz w:val="20"/>
          <w:szCs w:val="20"/>
        </w:rPr>
        <w:t>Policy</w:t>
      </w:r>
      <w:proofErr w:type="spellEnd"/>
      <w:r w:rsidRPr="00FA5383">
        <w:rPr>
          <w:sz w:val="20"/>
          <w:szCs w:val="20"/>
        </w:rPr>
        <w:t>, 37(2), pp.241–250.</w:t>
      </w:r>
    </w:p>
    <w:p w14:paraId="2F0AAA11" w14:textId="7FA2F87E"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The</w:t>
      </w:r>
      <w:proofErr w:type="spellEnd"/>
      <w:r w:rsidRPr="00426E05">
        <w:rPr>
          <w:color w:val="000000"/>
          <w:sz w:val="20"/>
          <w:szCs w:val="20"/>
        </w:rPr>
        <w:t xml:space="preserve"> </w:t>
      </w:r>
      <w:proofErr w:type="spellStart"/>
      <w:r w:rsidRPr="00426E05">
        <w:rPr>
          <w:color w:val="000000"/>
          <w:sz w:val="20"/>
          <w:szCs w:val="20"/>
        </w:rPr>
        <w:t>Swedish</w:t>
      </w:r>
      <w:proofErr w:type="spellEnd"/>
      <w:r w:rsidRPr="00426E05">
        <w:rPr>
          <w:color w:val="000000"/>
          <w:sz w:val="20"/>
          <w:szCs w:val="20"/>
        </w:rPr>
        <w:t xml:space="preserve"> International Development </w:t>
      </w:r>
      <w:proofErr w:type="spellStart"/>
      <w:r w:rsidRPr="00426E05">
        <w:rPr>
          <w:color w:val="000000"/>
          <w:sz w:val="20"/>
          <w:szCs w:val="20"/>
        </w:rPr>
        <w:t>Cooperation</w:t>
      </w:r>
      <w:proofErr w:type="spellEnd"/>
      <w:r w:rsidRPr="00426E05">
        <w:rPr>
          <w:color w:val="000000"/>
          <w:sz w:val="20"/>
          <w:szCs w:val="20"/>
        </w:rPr>
        <w:t xml:space="preserve"> </w:t>
      </w:r>
      <w:proofErr w:type="spellStart"/>
      <w:r w:rsidRPr="00426E05">
        <w:rPr>
          <w:color w:val="000000"/>
          <w:sz w:val="20"/>
          <w:szCs w:val="20"/>
        </w:rPr>
        <w:t>Agency</w:t>
      </w:r>
      <w:proofErr w:type="spellEnd"/>
      <w:r w:rsidRPr="00426E05">
        <w:rPr>
          <w:color w:val="000000"/>
          <w:sz w:val="20"/>
          <w:szCs w:val="20"/>
        </w:rPr>
        <w:t xml:space="preserve"> (</w:t>
      </w:r>
      <w:proofErr w:type="gramStart"/>
      <w:r w:rsidRPr="00426E05">
        <w:rPr>
          <w:color w:val="000000"/>
          <w:sz w:val="20"/>
          <w:szCs w:val="20"/>
        </w:rPr>
        <w:t>2020a</w:t>
      </w:r>
      <w:proofErr w:type="gramEnd"/>
      <w:r w:rsidRPr="00426E05">
        <w:rPr>
          <w:color w:val="000000"/>
          <w:sz w:val="20"/>
          <w:szCs w:val="20"/>
        </w:rPr>
        <w:t>). </w:t>
      </w:r>
      <w:r w:rsidRPr="00426E05">
        <w:rPr>
          <w:i/>
          <w:iCs/>
          <w:color w:val="000000"/>
          <w:sz w:val="20"/>
          <w:szCs w:val="20"/>
        </w:rPr>
        <w:t xml:space="preserve">Public </w:t>
      </w:r>
      <w:proofErr w:type="spellStart"/>
      <w:r w:rsidRPr="00426E05">
        <w:rPr>
          <w:i/>
          <w:iCs/>
          <w:color w:val="000000"/>
          <w:sz w:val="20"/>
          <w:szCs w:val="20"/>
        </w:rPr>
        <w:t>Private</w:t>
      </w:r>
      <w:proofErr w:type="spellEnd"/>
      <w:r w:rsidRPr="00426E05">
        <w:rPr>
          <w:i/>
          <w:iCs/>
          <w:color w:val="000000"/>
          <w:sz w:val="20"/>
          <w:szCs w:val="20"/>
        </w:rPr>
        <w:t xml:space="preserve"> Development </w:t>
      </w:r>
      <w:proofErr w:type="spellStart"/>
      <w:r w:rsidRPr="00426E05">
        <w:rPr>
          <w:i/>
          <w:iCs/>
          <w:color w:val="000000"/>
          <w:sz w:val="20"/>
          <w:szCs w:val="20"/>
        </w:rPr>
        <w:t>Partnership</w:t>
      </w:r>
      <w:proofErr w:type="spellEnd"/>
      <w:r w:rsidRPr="00426E05">
        <w:rPr>
          <w:color w:val="000000"/>
          <w:sz w:val="20"/>
          <w:szCs w:val="20"/>
        </w:rPr>
        <w:t xml:space="preserve">. [online] </w:t>
      </w:r>
      <w:proofErr w:type="spellStart"/>
      <w:r w:rsidRPr="00426E05">
        <w:rPr>
          <w:color w:val="000000"/>
          <w:sz w:val="20"/>
          <w:szCs w:val="20"/>
        </w:rPr>
        <w:t>Sida</w:t>
      </w:r>
      <w:proofErr w:type="spellEnd"/>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90" w:history="1">
        <w:r w:rsidRPr="00426E05">
          <w:rPr>
            <w:rStyle w:val="Hypertextovodkaz"/>
            <w:sz w:val="20"/>
            <w:szCs w:val="20"/>
          </w:rPr>
          <w:t>https://www.sida.se/en/for-partners/private-sector/public-private-development-partnership</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21 Jun. 2021].</w:t>
      </w:r>
    </w:p>
    <w:p w14:paraId="472B2192" w14:textId="77777777" w:rsidR="00426E05" w:rsidRPr="00426E05" w:rsidRDefault="00426E05" w:rsidP="00426E05">
      <w:pPr>
        <w:shd w:val="clear" w:color="auto" w:fill="FFFFFF"/>
        <w:spacing w:before="80" w:after="80"/>
        <w:rPr>
          <w:color w:val="000000"/>
          <w:sz w:val="20"/>
          <w:szCs w:val="20"/>
        </w:rPr>
      </w:pPr>
      <w:proofErr w:type="spellStart"/>
      <w:r w:rsidRPr="00426E05">
        <w:rPr>
          <w:color w:val="000000"/>
          <w:sz w:val="20"/>
          <w:szCs w:val="20"/>
        </w:rPr>
        <w:t>The</w:t>
      </w:r>
      <w:proofErr w:type="spellEnd"/>
      <w:r w:rsidRPr="00426E05">
        <w:rPr>
          <w:color w:val="000000"/>
          <w:sz w:val="20"/>
          <w:szCs w:val="20"/>
        </w:rPr>
        <w:t xml:space="preserve"> </w:t>
      </w:r>
      <w:proofErr w:type="spellStart"/>
      <w:r w:rsidRPr="00426E05">
        <w:rPr>
          <w:color w:val="000000"/>
          <w:sz w:val="20"/>
          <w:szCs w:val="20"/>
        </w:rPr>
        <w:t>Swedish</w:t>
      </w:r>
      <w:proofErr w:type="spellEnd"/>
      <w:r w:rsidRPr="00426E05">
        <w:rPr>
          <w:color w:val="000000"/>
          <w:sz w:val="20"/>
          <w:szCs w:val="20"/>
        </w:rPr>
        <w:t xml:space="preserve"> International Development </w:t>
      </w:r>
      <w:proofErr w:type="spellStart"/>
      <w:r w:rsidRPr="00426E05">
        <w:rPr>
          <w:color w:val="000000"/>
          <w:sz w:val="20"/>
          <w:szCs w:val="20"/>
        </w:rPr>
        <w:t>Cooperation</w:t>
      </w:r>
      <w:proofErr w:type="spellEnd"/>
      <w:r w:rsidRPr="00426E05">
        <w:rPr>
          <w:color w:val="000000"/>
          <w:sz w:val="20"/>
          <w:szCs w:val="20"/>
        </w:rPr>
        <w:t xml:space="preserve"> </w:t>
      </w:r>
      <w:proofErr w:type="spellStart"/>
      <w:r w:rsidRPr="00426E05">
        <w:rPr>
          <w:color w:val="000000"/>
          <w:sz w:val="20"/>
          <w:szCs w:val="20"/>
        </w:rPr>
        <w:t>Agency</w:t>
      </w:r>
      <w:proofErr w:type="spellEnd"/>
      <w:r w:rsidRPr="00426E05">
        <w:rPr>
          <w:color w:val="000000"/>
          <w:sz w:val="20"/>
          <w:szCs w:val="20"/>
        </w:rPr>
        <w:t xml:space="preserve"> (</w:t>
      </w:r>
      <w:proofErr w:type="gramStart"/>
      <w:r w:rsidRPr="00426E05">
        <w:rPr>
          <w:color w:val="000000"/>
          <w:sz w:val="20"/>
          <w:szCs w:val="20"/>
        </w:rPr>
        <w:t>2020b</w:t>
      </w:r>
      <w:proofErr w:type="gramEnd"/>
      <w:r w:rsidRPr="00426E05">
        <w:rPr>
          <w:color w:val="000000"/>
          <w:sz w:val="20"/>
          <w:szCs w:val="20"/>
        </w:rPr>
        <w:t>). </w:t>
      </w:r>
      <w:proofErr w:type="spellStart"/>
      <w:r w:rsidRPr="00426E05">
        <w:rPr>
          <w:i/>
          <w:iCs/>
          <w:color w:val="000000"/>
          <w:sz w:val="20"/>
          <w:szCs w:val="20"/>
        </w:rPr>
        <w:t>Swedish</w:t>
      </w:r>
      <w:proofErr w:type="spellEnd"/>
      <w:r w:rsidRPr="00426E05">
        <w:rPr>
          <w:i/>
          <w:iCs/>
          <w:color w:val="000000"/>
          <w:sz w:val="20"/>
          <w:szCs w:val="20"/>
        </w:rPr>
        <w:t xml:space="preserve"> Leadership </w:t>
      </w:r>
      <w:proofErr w:type="spellStart"/>
      <w:r w:rsidRPr="00426E05">
        <w:rPr>
          <w:i/>
          <w:iCs/>
          <w:color w:val="000000"/>
          <w:sz w:val="20"/>
          <w:szCs w:val="20"/>
        </w:rPr>
        <w:t>for</w:t>
      </w:r>
      <w:proofErr w:type="spellEnd"/>
      <w:r w:rsidRPr="00426E05">
        <w:rPr>
          <w:i/>
          <w:iCs/>
          <w:color w:val="000000"/>
          <w:sz w:val="20"/>
          <w:szCs w:val="20"/>
        </w:rPr>
        <w:t xml:space="preserve"> </w:t>
      </w:r>
      <w:proofErr w:type="spellStart"/>
      <w:r w:rsidRPr="00426E05">
        <w:rPr>
          <w:i/>
          <w:iCs/>
          <w:color w:val="000000"/>
          <w:sz w:val="20"/>
          <w:szCs w:val="20"/>
        </w:rPr>
        <w:t>Sustainable</w:t>
      </w:r>
      <w:proofErr w:type="spellEnd"/>
      <w:r w:rsidRPr="00426E05">
        <w:rPr>
          <w:i/>
          <w:iCs/>
          <w:color w:val="000000"/>
          <w:sz w:val="20"/>
          <w:szCs w:val="20"/>
        </w:rPr>
        <w:t xml:space="preserve"> Development</w:t>
      </w:r>
      <w:r w:rsidRPr="00426E05">
        <w:rPr>
          <w:color w:val="000000"/>
          <w:sz w:val="20"/>
          <w:szCs w:val="20"/>
        </w:rPr>
        <w:t xml:space="preserve">. [online] </w:t>
      </w:r>
      <w:proofErr w:type="spellStart"/>
      <w:r w:rsidRPr="00426E05">
        <w:rPr>
          <w:color w:val="000000"/>
          <w:sz w:val="20"/>
          <w:szCs w:val="20"/>
        </w:rPr>
        <w:t>Sida</w:t>
      </w:r>
      <w:proofErr w:type="spellEnd"/>
      <w:r w:rsidRPr="00426E05">
        <w:rPr>
          <w:color w:val="000000"/>
          <w:sz w:val="20"/>
          <w:szCs w:val="20"/>
        </w:rPr>
        <w:t xml:space="preserve">. </w:t>
      </w:r>
      <w:proofErr w:type="spellStart"/>
      <w:r w:rsidRPr="00426E05">
        <w:rPr>
          <w:color w:val="000000"/>
          <w:sz w:val="20"/>
          <w:szCs w:val="20"/>
        </w:rPr>
        <w:t>Available</w:t>
      </w:r>
      <w:proofErr w:type="spellEnd"/>
      <w:r w:rsidRPr="00426E05">
        <w:rPr>
          <w:color w:val="000000"/>
          <w:sz w:val="20"/>
          <w:szCs w:val="20"/>
        </w:rPr>
        <w:t xml:space="preserve"> </w:t>
      </w:r>
      <w:proofErr w:type="spellStart"/>
      <w:r w:rsidRPr="00426E05">
        <w:rPr>
          <w:color w:val="000000"/>
          <w:sz w:val="20"/>
          <w:szCs w:val="20"/>
        </w:rPr>
        <w:t>at</w:t>
      </w:r>
      <w:proofErr w:type="spellEnd"/>
      <w:r w:rsidRPr="00426E05">
        <w:rPr>
          <w:color w:val="000000"/>
          <w:sz w:val="20"/>
          <w:szCs w:val="20"/>
        </w:rPr>
        <w:t xml:space="preserve">: </w:t>
      </w:r>
      <w:hyperlink r:id="rId91" w:history="1">
        <w:r w:rsidRPr="00426E05">
          <w:rPr>
            <w:rStyle w:val="Hypertextovodkaz"/>
            <w:sz w:val="20"/>
            <w:szCs w:val="20"/>
          </w:rPr>
          <w:t>https://www.sida.se/en/for-partners/private-sector/swedish-leadership-for-sustainable-development</w:t>
        </w:r>
      </w:hyperlink>
      <w:r w:rsidRPr="00426E05">
        <w:rPr>
          <w:color w:val="000000"/>
          <w:sz w:val="20"/>
          <w:szCs w:val="20"/>
        </w:rPr>
        <w:t xml:space="preserve"> [</w:t>
      </w:r>
      <w:proofErr w:type="spellStart"/>
      <w:r w:rsidRPr="00426E05">
        <w:rPr>
          <w:color w:val="000000"/>
          <w:sz w:val="20"/>
          <w:szCs w:val="20"/>
        </w:rPr>
        <w:t>Accessed</w:t>
      </w:r>
      <w:proofErr w:type="spellEnd"/>
      <w:r w:rsidRPr="00426E05">
        <w:rPr>
          <w:color w:val="000000"/>
          <w:sz w:val="20"/>
          <w:szCs w:val="20"/>
        </w:rPr>
        <w:t xml:space="preserve"> 16 Jun. 2021].</w:t>
      </w:r>
    </w:p>
    <w:p w14:paraId="2E4C1907" w14:textId="77777777" w:rsidR="00426E05" w:rsidRPr="00426E05" w:rsidRDefault="00426E05" w:rsidP="00DA7E0D">
      <w:pPr>
        <w:rPr>
          <w:color w:val="0563C1"/>
          <w:sz w:val="20"/>
          <w:szCs w:val="22"/>
        </w:rPr>
      </w:pPr>
    </w:p>
    <w:p w14:paraId="697DC5E7" w14:textId="77777777" w:rsidR="00DA7E0D" w:rsidRPr="00CE217B" w:rsidRDefault="00DA7E0D" w:rsidP="00DA7E0D"/>
    <w:p w14:paraId="01D21271" w14:textId="77777777" w:rsidR="00BF4A9F" w:rsidRPr="00DA7E0D" w:rsidRDefault="00BF4A9F" w:rsidP="00DA7E0D"/>
    <w:sectPr w:rsidR="00BF4A9F" w:rsidRPr="00DA7E0D" w:rsidSect="00957066">
      <w:footerReference w:type="even" r:id="rId92"/>
      <w:footerReference w:type="default" r:id="rId93"/>
      <w:pgSz w:w="11906" w:h="16838"/>
      <w:pgMar w:top="1417" w:right="1152" w:bottom="141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E29" w14:textId="77777777" w:rsidR="005857C4" w:rsidRDefault="005857C4">
      <w:r>
        <w:separator/>
      </w:r>
    </w:p>
  </w:endnote>
  <w:endnote w:type="continuationSeparator" w:id="0">
    <w:p w14:paraId="77CA64EA" w14:textId="77777777" w:rsidR="005857C4" w:rsidRDefault="005857C4">
      <w:r>
        <w:continuationSeparator/>
      </w:r>
    </w:p>
  </w:endnote>
  <w:endnote w:type="continuationNotice" w:id="1">
    <w:p w14:paraId="30E7FBBB" w14:textId="77777777" w:rsidR="005857C4" w:rsidRDefault="00585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cStd">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46A9" w14:textId="77777777" w:rsidR="00E04300" w:rsidRDefault="00E043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9C3A43B" w14:textId="77777777" w:rsidR="00E04300" w:rsidRDefault="00E04300">
    <w:pPr>
      <w:pStyle w:val="Zpat"/>
      <w:ind w:right="360"/>
    </w:pPr>
  </w:p>
  <w:p w14:paraId="31800F07" w14:textId="77777777" w:rsidR="00E04300" w:rsidRDefault="00E04300"/>
  <w:p w14:paraId="18CD3DBC" w14:textId="77777777" w:rsidR="00E04300" w:rsidRDefault="00E043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963328"/>
      <w:docPartObj>
        <w:docPartGallery w:val="Page Numbers (Bottom of Page)"/>
        <w:docPartUnique/>
      </w:docPartObj>
    </w:sdtPr>
    <w:sdtEndPr/>
    <w:sdtContent>
      <w:p w14:paraId="63BB83C3" w14:textId="07D9CE5B" w:rsidR="00957066" w:rsidRDefault="00957066">
        <w:pPr>
          <w:pStyle w:val="Zpat"/>
          <w:jc w:val="right"/>
        </w:pPr>
        <w:r>
          <w:fldChar w:fldCharType="begin"/>
        </w:r>
        <w:r>
          <w:instrText>PAGE   \* MERGEFORMAT</w:instrText>
        </w:r>
        <w:r>
          <w:fldChar w:fldCharType="separate"/>
        </w:r>
        <w:r>
          <w:t>2</w:t>
        </w:r>
        <w:r>
          <w:fldChar w:fldCharType="end"/>
        </w:r>
        <w:r>
          <w:t>/</w:t>
        </w:r>
        <w:r w:rsidR="005857C4">
          <w:fldChar w:fldCharType="begin"/>
        </w:r>
        <w:r w:rsidR="005857C4">
          <w:instrText xml:space="preserve"> NUMPAGES  \* Arabic  \* MERGEFORMAT </w:instrText>
        </w:r>
        <w:r w:rsidR="005857C4">
          <w:fldChar w:fldCharType="separate"/>
        </w:r>
        <w:r>
          <w:rPr>
            <w:noProof/>
          </w:rPr>
          <w:t>24</w:t>
        </w:r>
        <w:r w:rsidR="005857C4">
          <w:rPr>
            <w:noProof/>
          </w:rPr>
          <w:fldChar w:fldCharType="end"/>
        </w:r>
      </w:p>
    </w:sdtContent>
  </w:sdt>
  <w:p w14:paraId="42CAEFB2" w14:textId="77777777" w:rsidR="00E04300" w:rsidRDefault="00E04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84BC" w14:textId="77777777" w:rsidR="005857C4" w:rsidRDefault="005857C4">
      <w:r>
        <w:separator/>
      </w:r>
    </w:p>
  </w:footnote>
  <w:footnote w:type="continuationSeparator" w:id="0">
    <w:p w14:paraId="4FD6E15A" w14:textId="77777777" w:rsidR="005857C4" w:rsidRDefault="005857C4">
      <w:r>
        <w:continuationSeparator/>
      </w:r>
    </w:p>
  </w:footnote>
  <w:footnote w:type="continuationNotice" w:id="1">
    <w:p w14:paraId="1007F7E9" w14:textId="77777777" w:rsidR="005857C4" w:rsidRDefault="005857C4">
      <w:pPr>
        <w:spacing w:before="0" w:after="0"/>
      </w:pPr>
    </w:p>
  </w:footnote>
  <w:footnote w:id="2">
    <w:p w14:paraId="18F14531" w14:textId="77777777" w:rsidR="00DA7E0D" w:rsidRPr="00851FE3" w:rsidRDefault="00DA7E0D" w:rsidP="00DA7E0D">
      <w:pPr>
        <w:pStyle w:val="Textpoznpodarou"/>
        <w:rPr>
          <w:szCs w:val="16"/>
        </w:rPr>
      </w:pPr>
      <w:r w:rsidRPr="00851FE3">
        <w:rPr>
          <w:rStyle w:val="Znakapoznpodarou"/>
          <w:szCs w:val="16"/>
        </w:rPr>
        <w:footnoteRef/>
      </w:r>
      <w:r w:rsidRPr="00851FE3">
        <w:rPr>
          <w:szCs w:val="16"/>
        </w:rPr>
        <w:t xml:space="preserve"> https://www.activecitizensfund.cz/active-citizens-fund/o-programu/</w:t>
      </w:r>
    </w:p>
  </w:footnote>
  <w:footnote w:id="3">
    <w:p w14:paraId="7AF81A7A" w14:textId="77777777" w:rsidR="00DA7E0D" w:rsidRPr="00CE217B" w:rsidRDefault="00DA7E0D" w:rsidP="00DA7E0D">
      <w:pPr>
        <w:pStyle w:val="Textpoznpodarou"/>
        <w:rPr>
          <w:sz w:val="18"/>
          <w:szCs w:val="18"/>
        </w:rPr>
      </w:pPr>
      <w:r w:rsidRPr="00CE217B">
        <w:rPr>
          <w:rStyle w:val="Znakapoznpodarou"/>
          <w:sz w:val="18"/>
          <w:szCs w:val="18"/>
        </w:rPr>
        <w:footnoteRef/>
      </w:r>
      <w:r w:rsidRPr="00CE217B">
        <w:rPr>
          <w:sz w:val="18"/>
          <w:szCs w:val="18"/>
        </w:rPr>
        <w:t xml:space="preserve"> https://www.program-life.cz/oblasti-podpory/#provozni-granty</w:t>
      </w:r>
    </w:p>
  </w:footnote>
  <w:footnote w:id="4">
    <w:p w14:paraId="1B1CA492" w14:textId="77777777" w:rsidR="00DA7E0D" w:rsidRPr="00483FAD" w:rsidRDefault="00DA7E0D" w:rsidP="00DA7E0D">
      <w:pPr>
        <w:pStyle w:val="Textpoznpodarou"/>
        <w:rPr>
          <w:rFonts w:asciiTheme="majorHAnsi" w:hAnsiTheme="majorHAnsi" w:cstheme="majorHAnsi"/>
          <w:sz w:val="14"/>
          <w:szCs w:val="14"/>
        </w:rPr>
      </w:pPr>
      <w:r w:rsidRPr="00483FAD">
        <w:rPr>
          <w:rStyle w:val="Znakapoznpodarou"/>
          <w:rFonts w:cstheme="majorHAnsi"/>
          <w:sz w:val="14"/>
          <w:szCs w:val="14"/>
        </w:rPr>
        <w:footnoteRef/>
      </w:r>
      <w:r w:rsidRPr="00483FAD">
        <w:rPr>
          <w:rFonts w:asciiTheme="majorHAnsi" w:hAnsiTheme="majorHAnsi" w:cstheme="majorHAnsi"/>
          <w:sz w:val="14"/>
          <w:szCs w:val="14"/>
        </w:rPr>
        <w:t xml:space="preserve"> </w:t>
      </w:r>
      <w:hyperlink r:id="rId1" w:history="1">
        <w:r w:rsidRPr="00483FAD">
          <w:rPr>
            <w:rStyle w:val="Hypertextovodkaz"/>
            <w:rFonts w:asciiTheme="majorHAnsi" w:hAnsiTheme="majorHAnsi" w:cstheme="majorHAnsi"/>
            <w:sz w:val="14"/>
            <w:szCs w:val="14"/>
          </w:rPr>
          <w:t>https://publikationer.sida.se/contentassets/e35b55d8740d46e5ba773b99f3e3385c/de2019_3_62195en.pdf</w:t>
        </w:r>
      </w:hyperlink>
      <w:r w:rsidRPr="00483FAD">
        <w:rPr>
          <w:rFonts w:asciiTheme="majorHAnsi" w:hAnsiTheme="majorHAnsi" w:cstheme="majorHAnsi"/>
          <w:sz w:val="14"/>
          <w:szCs w:val="14"/>
        </w:rPr>
        <w:t xml:space="preserve"> </w:t>
      </w:r>
    </w:p>
  </w:footnote>
  <w:footnote w:id="5">
    <w:p w14:paraId="34E23E65" w14:textId="77777777" w:rsidR="00DA7E0D" w:rsidRPr="00483FAD" w:rsidRDefault="00DA7E0D" w:rsidP="00DA7E0D">
      <w:pPr>
        <w:pStyle w:val="Textpoznpodarou"/>
        <w:rPr>
          <w:rFonts w:asciiTheme="majorHAnsi" w:hAnsiTheme="majorHAnsi" w:cstheme="majorHAnsi"/>
          <w:sz w:val="14"/>
          <w:szCs w:val="14"/>
        </w:rPr>
      </w:pPr>
      <w:r w:rsidRPr="00483FAD">
        <w:rPr>
          <w:rStyle w:val="Znakapoznpodarou"/>
          <w:rFonts w:cstheme="majorHAnsi"/>
          <w:sz w:val="14"/>
          <w:szCs w:val="14"/>
        </w:rPr>
        <w:footnoteRef/>
      </w:r>
      <w:r w:rsidRPr="00483FAD">
        <w:rPr>
          <w:rFonts w:asciiTheme="majorHAnsi" w:hAnsiTheme="majorHAnsi" w:cstheme="majorHAnsi"/>
          <w:sz w:val="14"/>
          <w:szCs w:val="14"/>
        </w:rPr>
        <w:t xml:space="preserve"> </w:t>
      </w:r>
      <w:hyperlink r:id="rId2" w:history="1">
        <w:r w:rsidRPr="00483FAD">
          <w:rPr>
            <w:rStyle w:val="Hypertextovodkaz"/>
            <w:rFonts w:asciiTheme="majorHAnsi" w:hAnsiTheme="majorHAnsi" w:cstheme="majorHAnsi"/>
            <w:sz w:val="14"/>
            <w:szCs w:val="14"/>
          </w:rPr>
          <w:t>https://www.oecd.org/dac/peer-reviews/Peer-Learning-Country-Report-Sweden.pdf</w:t>
        </w:r>
      </w:hyperlink>
    </w:p>
  </w:footnote>
  <w:footnote w:id="6">
    <w:p w14:paraId="66807BDC" w14:textId="77777777" w:rsidR="00DA7E0D" w:rsidRPr="00483FAD" w:rsidRDefault="00DA7E0D" w:rsidP="00DA7E0D">
      <w:pPr>
        <w:pStyle w:val="Textpoznpodarou"/>
        <w:rPr>
          <w:rFonts w:asciiTheme="majorHAnsi" w:hAnsiTheme="majorHAnsi" w:cstheme="majorHAnsi"/>
          <w:sz w:val="14"/>
          <w:szCs w:val="14"/>
        </w:rPr>
      </w:pPr>
      <w:r w:rsidRPr="00483FAD">
        <w:rPr>
          <w:rStyle w:val="Znakapoznpodarou"/>
          <w:rFonts w:cstheme="majorHAnsi"/>
          <w:sz w:val="14"/>
          <w:szCs w:val="14"/>
        </w:rPr>
        <w:footnoteRef/>
      </w:r>
      <w:r w:rsidRPr="00483FAD">
        <w:rPr>
          <w:rFonts w:asciiTheme="majorHAnsi" w:hAnsiTheme="majorHAnsi" w:cstheme="majorHAnsi"/>
          <w:sz w:val="14"/>
          <w:szCs w:val="14"/>
        </w:rPr>
        <w:t xml:space="preserve"> </w:t>
      </w:r>
      <w:hyperlink r:id="rId3" w:history="1">
        <w:r w:rsidRPr="00483FAD">
          <w:rPr>
            <w:rStyle w:val="Hypertextovodkaz"/>
            <w:rFonts w:asciiTheme="majorHAnsi" w:hAnsiTheme="majorHAnsi" w:cstheme="majorHAnsi"/>
            <w:sz w:val="14"/>
            <w:szCs w:val="14"/>
          </w:rPr>
          <w:t>https://d-nb.info/1097398080/34</w:t>
        </w:r>
      </w:hyperlink>
      <w:r w:rsidRPr="00483FAD">
        <w:rPr>
          <w:rFonts w:asciiTheme="majorHAnsi" w:hAnsiTheme="majorHAnsi" w:cstheme="majorHAnsi"/>
          <w:sz w:val="14"/>
          <w:szCs w:val="14"/>
        </w:rPr>
        <w:t xml:space="preserve"> </w:t>
      </w:r>
    </w:p>
  </w:footnote>
  <w:footnote w:id="7">
    <w:p w14:paraId="6A1C9896" w14:textId="77777777" w:rsidR="00DA7E0D" w:rsidRPr="00483FAD" w:rsidRDefault="00DA7E0D" w:rsidP="00DA7E0D">
      <w:pPr>
        <w:pStyle w:val="Textpoznpodarou"/>
        <w:rPr>
          <w:rFonts w:asciiTheme="majorHAnsi" w:hAnsiTheme="majorHAnsi" w:cstheme="majorHAnsi"/>
          <w:sz w:val="14"/>
          <w:szCs w:val="14"/>
        </w:rPr>
      </w:pPr>
      <w:r w:rsidRPr="00483FAD">
        <w:rPr>
          <w:rStyle w:val="Znakapoznpodarou"/>
          <w:rFonts w:cstheme="majorHAnsi"/>
          <w:sz w:val="14"/>
          <w:szCs w:val="14"/>
        </w:rPr>
        <w:footnoteRef/>
      </w:r>
      <w:r w:rsidRPr="00483FAD">
        <w:rPr>
          <w:rFonts w:asciiTheme="majorHAnsi" w:hAnsiTheme="majorHAnsi" w:cstheme="majorHAnsi"/>
          <w:sz w:val="14"/>
          <w:szCs w:val="14"/>
        </w:rPr>
        <w:t xml:space="preserve"> </w:t>
      </w:r>
      <w:hyperlink r:id="rId4" w:history="1">
        <w:r w:rsidRPr="00483FAD">
          <w:rPr>
            <w:rStyle w:val="Hypertextovodkaz"/>
            <w:rFonts w:asciiTheme="majorHAnsi" w:hAnsiTheme="majorHAnsi" w:cstheme="majorHAnsi"/>
            <w:sz w:val="14"/>
            <w:szCs w:val="14"/>
          </w:rPr>
          <w:t>https://dmdp.dk/wp-content/uploads/2020/03/Programme-document-2017-incl-annex.pdf</w:t>
        </w:r>
      </w:hyperlink>
      <w:r w:rsidRPr="00483FAD">
        <w:rPr>
          <w:rFonts w:asciiTheme="majorHAnsi" w:hAnsiTheme="majorHAnsi" w:cstheme="majorHAnsi"/>
          <w:sz w:val="14"/>
          <w:szCs w:val="14"/>
        </w:rPr>
        <w:t xml:space="preserve"> </w:t>
      </w:r>
    </w:p>
  </w:footnote>
  <w:footnote w:id="8">
    <w:p w14:paraId="6616A162" w14:textId="28B39329" w:rsidR="00DA7E0D" w:rsidRPr="00EF0477" w:rsidRDefault="00DA7E0D" w:rsidP="00DA7E0D">
      <w:pPr>
        <w:rPr>
          <w:sz w:val="16"/>
          <w:szCs w:val="16"/>
        </w:rPr>
      </w:pPr>
      <w:r w:rsidRPr="00EF0477">
        <w:rPr>
          <w:rStyle w:val="Znakapoznpodarou"/>
          <w:sz w:val="16"/>
          <w:szCs w:val="16"/>
        </w:rPr>
        <w:footnoteRef/>
      </w:r>
      <w:r w:rsidRPr="00EF0477">
        <w:rPr>
          <w:sz w:val="16"/>
          <w:szCs w:val="16"/>
        </w:rPr>
        <w:t xml:space="preserve"> Mezi </w:t>
      </w:r>
      <w:proofErr w:type="spellStart"/>
      <w:r w:rsidRPr="00EF0477">
        <w:rPr>
          <w:sz w:val="16"/>
          <w:szCs w:val="16"/>
        </w:rPr>
        <w:t>NGAs</w:t>
      </w:r>
      <w:proofErr w:type="spellEnd"/>
      <w:r w:rsidRPr="00EF0477">
        <w:rPr>
          <w:sz w:val="16"/>
          <w:szCs w:val="16"/>
        </w:rPr>
        <w:t xml:space="preserve"> patří organizace občanské společnosti, zastřešující organizace univerzit, organizace podporované regionálními politickými orgány, zastřešující organizace měst a obcí a výzkumné ústavy.</w:t>
      </w:r>
    </w:p>
    <w:p w14:paraId="0D3A2637" w14:textId="77777777" w:rsidR="00DA7E0D" w:rsidRPr="00EF0477" w:rsidRDefault="00DA7E0D" w:rsidP="00DA7E0D">
      <w:pPr>
        <w:pStyle w:val="Textpoznpodarou"/>
      </w:pPr>
    </w:p>
  </w:footnote>
  <w:footnote w:id="9">
    <w:p w14:paraId="0AD8B7E4" w14:textId="77777777" w:rsidR="00DA7E0D" w:rsidRDefault="00DA7E0D" w:rsidP="00DA7E0D">
      <w:pPr>
        <w:pStyle w:val="Textpoznpodarou"/>
      </w:pPr>
      <w:r w:rsidRPr="06ED409C">
        <w:rPr>
          <w:rStyle w:val="Znakapoznpodarou"/>
        </w:rPr>
        <w:footnoteRef/>
      </w:r>
      <w:r>
        <w:t xml:space="preserve"> </w:t>
      </w:r>
      <w:r w:rsidRPr="00B773DE">
        <w:rPr>
          <w:szCs w:val="16"/>
        </w:rPr>
        <w:t>“</w:t>
      </w:r>
      <w:proofErr w:type="spellStart"/>
      <w:r w:rsidRPr="00B773DE">
        <w:rPr>
          <w:szCs w:val="16"/>
        </w:rPr>
        <w:t>Dialogue</w:t>
      </w:r>
      <w:proofErr w:type="spellEnd"/>
      <w:r w:rsidRPr="00B773DE">
        <w:rPr>
          <w:szCs w:val="16"/>
        </w:rPr>
        <w:t xml:space="preserve"> and </w:t>
      </w:r>
      <w:proofErr w:type="spellStart"/>
      <w:r w:rsidRPr="00B773DE">
        <w:rPr>
          <w:szCs w:val="16"/>
        </w:rPr>
        <w:t>Dissent</w:t>
      </w:r>
      <w:proofErr w:type="spellEnd"/>
      <w:r w:rsidRPr="00B773DE">
        <w:rPr>
          <w:szCs w:val="16"/>
        </w:rPr>
        <w:t xml:space="preserve">” </w:t>
      </w:r>
      <w:proofErr w:type="spellStart"/>
      <w:r w:rsidRPr="00B773DE">
        <w:rPr>
          <w:szCs w:val="16"/>
        </w:rPr>
        <w:t>Strategic</w:t>
      </w:r>
      <w:proofErr w:type="spellEnd"/>
      <w:r w:rsidRPr="00B773DE">
        <w:rPr>
          <w:szCs w:val="16"/>
        </w:rPr>
        <w:t xml:space="preserve"> </w:t>
      </w:r>
      <w:proofErr w:type="spellStart"/>
      <w:r w:rsidRPr="00B773DE">
        <w:rPr>
          <w:szCs w:val="16"/>
        </w:rPr>
        <w:t>Partnerships</w:t>
      </w:r>
      <w:proofErr w:type="spellEnd"/>
      <w:r w:rsidRPr="00B773DE">
        <w:rPr>
          <w:szCs w:val="16"/>
        </w:rPr>
        <w:t xml:space="preserve"> </w:t>
      </w:r>
      <w:proofErr w:type="spellStart"/>
      <w:r w:rsidRPr="00B773DE">
        <w:rPr>
          <w:szCs w:val="16"/>
        </w:rPr>
        <w:t>for</w:t>
      </w:r>
      <w:proofErr w:type="spellEnd"/>
      <w:r w:rsidRPr="00B773DE">
        <w:rPr>
          <w:szCs w:val="16"/>
        </w:rPr>
        <w:t xml:space="preserve"> </w:t>
      </w:r>
      <w:proofErr w:type="spellStart"/>
      <w:r w:rsidRPr="00B773DE">
        <w:rPr>
          <w:szCs w:val="16"/>
        </w:rPr>
        <w:t>Lobbying</w:t>
      </w:r>
      <w:proofErr w:type="spellEnd"/>
      <w:r w:rsidRPr="00B773DE">
        <w:rPr>
          <w:szCs w:val="16"/>
        </w:rPr>
        <w:t xml:space="preserve"> and </w:t>
      </w:r>
      <w:proofErr w:type="spellStart"/>
      <w:r w:rsidRPr="00B773DE">
        <w:rPr>
          <w:szCs w:val="16"/>
        </w:rPr>
        <w:t>Advocacy</w:t>
      </w:r>
      <w:proofErr w:type="spellEnd"/>
      <w:r w:rsidRPr="00B773DE">
        <w:rPr>
          <w:szCs w:val="16"/>
        </w:rPr>
        <w:t xml:space="preserve">. </w:t>
      </w:r>
      <w:proofErr w:type="spellStart"/>
      <w:r w:rsidRPr="00B773DE">
        <w:rPr>
          <w:szCs w:val="16"/>
        </w:rPr>
        <w:t>Government</w:t>
      </w:r>
      <w:proofErr w:type="spellEnd"/>
      <w:r w:rsidRPr="00B773DE">
        <w:rPr>
          <w:szCs w:val="16"/>
        </w:rPr>
        <w:t xml:space="preserve"> </w:t>
      </w:r>
      <w:proofErr w:type="spellStart"/>
      <w:r w:rsidRPr="00B773DE">
        <w:rPr>
          <w:szCs w:val="16"/>
        </w:rPr>
        <w:t>of</w:t>
      </w:r>
      <w:proofErr w:type="spellEnd"/>
      <w:r w:rsidRPr="00B773DE">
        <w:rPr>
          <w:szCs w:val="16"/>
        </w:rPr>
        <w:t xml:space="preserve"> </w:t>
      </w:r>
      <w:proofErr w:type="spellStart"/>
      <w:r w:rsidRPr="00B773DE">
        <w:rPr>
          <w:szCs w:val="16"/>
        </w:rPr>
        <w:t>the</w:t>
      </w:r>
      <w:proofErr w:type="spellEnd"/>
      <w:r w:rsidRPr="00B773DE">
        <w:rPr>
          <w:szCs w:val="16"/>
        </w:rPr>
        <w:t xml:space="preserve"> </w:t>
      </w:r>
      <w:proofErr w:type="spellStart"/>
      <w:r w:rsidRPr="00B773DE">
        <w:rPr>
          <w:szCs w:val="16"/>
        </w:rPr>
        <w:t>Netherlands</w:t>
      </w:r>
      <w:proofErr w:type="spellEnd"/>
      <w:r w:rsidRPr="00B773DE">
        <w:rPr>
          <w:szCs w:val="16"/>
        </w:rPr>
        <w:t xml:space="preserve">. </w:t>
      </w:r>
      <w:proofErr w:type="spellStart"/>
      <w:r w:rsidRPr="00B773DE">
        <w:rPr>
          <w:szCs w:val="16"/>
        </w:rPr>
        <w:t>Available</w:t>
      </w:r>
      <w:proofErr w:type="spellEnd"/>
      <w:r w:rsidRPr="00B773DE">
        <w:rPr>
          <w:szCs w:val="16"/>
        </w:rPr>
        <w:t xml:space="preserve"> </w:t>
      </w:r>
      <w:proofErr w:type="spellStart"/>
      <w:r w:rsidRPr="00B773DE">
        <w:rPr>
          <w:szCs w:val="16"/>
        </w:rPr>
        <w:t>at</w:t>
      </w:r>
      <w:proofErr w:type="spellEnd"/>
      <w:r w:rsidRPr="00B773DE">
        <w:rPr>
          <w:szCs w:val="16"/>
        </w:rPr>
        <w:t xml:space="preserve"> </w:t>
      </w:r>
      <w:hyperlink r:id="rId5">
        <w:r w:rsidRPr="00B773DE">
          <w:rPr>
            <w:rStyle w:val="Hypertextovodkaz"/>
            <w:szCs w:val="16"/>
          </w:rPr>
          <w:t>“</w:t>
        </w:r>
        <w:proofErr w:type="spellStart"/>
        <w:r w:rsidRPr="00B773DE">
          <w:rPr>
            <w:rStyle w:val="Hypertextovodkaz"/>
            <w:szCs w:val="16"/>
          </w:rPr>
          <w:t>Dialogue</w:t>
        </w:r>
        <w:proofErr w:type="spellEnd"/>
        <w:r w:rsidRPr="00B773DE">
          <w:rPr>
            <w:rStyle w:val="Hypertextovodkaz"/>
            <w:szCs w:val="16"/>
          </w:rPr>
          <w:t xml:space="preserve"> and </w:t>
        </w:r>
        <w:proofErr w:type="spellStart"/>
        <w:r w:rsidRPr="00B773DE">
          <w:rPr>
            <w:rStyle w:val="Hypertextovodkaz"/>
            <w:szCs w:val="16"/>
          </w:rPr>
          <w:t>Dissent</w:t>
        </w:r>
        <w:proofErr w:type="spellEnd"/>
        <w:r w:rsidRPr="00B773DE">
          <w:rPr>
            <w:rStyle w:val="Hypertextovodkaz"/>
            <w:szCs w:val="16"/>
          </w:rPr>
          <w:t xml:space="preserve">”. </w:t>
        </w:r>
        <w:proofErr w:type="spellStart"/>
        <w:r w:rsidRPr="00B773DE">
          <w:rPr>
            <w:rStyle w:val="Hypertextovodkaz"/>
            <w:szCs w:val="16"/>
          </w:rPr>
          <w:t>Strategic</w:t>
        </w:r>
        <w:proofErr w:type="spellEnd"/>
        <w:r w:rsidRPr="00B773DE">
          <w:rPr>
            <w:rStyle w:val="Hypertextovodkaz"/>
            <w:szCs w:val="16"/>
          </w:rPr>
          <w:t xml:space="preserve"> </w:t>
        </w:r>
        <w:proofErr w:type="spellStart"/>
        <w:r w:rsidRPr="00B773DE">
          <w:rPr>
            <w:rStyle w:val="Hypertextovodkaz"/>
            <w:szCs w:val="16"/>
          </w:rPr>
          <w:t>partnerships</w:t>
        </w:r>
        <w:proofErr w:type="spellEnd"/>
        <w:r w:rsidRPr="00B773DE">
          <w:rPr>
            <w:rStyle w:val="Hypertextovodkaz"/>
            <w:szCs w:val="16"/>
          </w:rPr>
          <w:t xml:space="preserve"> </w:t>
        </w:r>
        <w:proofErr w:type="spellStart"/>
        <w:r w:rsidRPr="00B773DE">
          <w:rPr>
            <w:rStyle w:val="Hypertextovodkaz"/>
            <w:szCs w:val="16"/>
          </w:rPr>
          <w:t>for</w:t>
        </w:r>
        <w:proofErr w:type="spellEnd"/>
        <w:r w:rsidRPr="00B773DE">
          <w:rPr>
            <w:rStyle w:val="Hypertextovodkaz"/>
            <w:szCs w:val="16"/>
          </w:rPr>
          <w:t xml:space="preserve"> ‘lobby and </w:t>
        </w:r>
        <w:proofErr w:type="spellStart"/>
        <w:r w:rsidRPr="00B773DE">
          <w:rPr>
            <w:rStyle w:val="Hypertextovodkaz"/>
            <w:szCs w:val="16"/>
          </w:rPr>
          <w:t>advocacy</w:t>
        </w:r>
        <w:proofErr w:type="spellEnd"/>
        <w:r w:rsidRPr="00B773DE">
          <w:rPr>
            <w:rStyle w:val="Hypertextovodkaz"/>
            <w:szCs w:val="16"/>
          </w:rPr>
          <w:t>’ | Grant programmes | Government.nl</w:t>
        </w:r>
      </w:hyperlink>
    </w:p>
  </w:footnote>
  <w:footnote w:id="10">
    <w:p w14:paraId="37136A3D" w14:textId="77777777" w:rsidR="00DA7E0D" w:rsidRDefault="00DA7E0D" w:rsidP="00DA7E0D">
      <w:pPr>
        <w:pStyle w:val="Textpoznpodarou"/>
      </w:pPr>
      <w:r w:rsidRPr="00F23EA2">
        <w:rPr>
          <w:rStyle w:val="Znakapoznpodarou"/>
          <w:szCs w:val="16"/>
        </w:rPr>
        <w:footnoteRef/>
      </w:r>
      <w:r w:rsidRPr="00F23EA2">
        <w:rPr>
          <w:szCs w:val="16"/>
        </w:rPr>
        <w:t xml:space="preserve"> </w:t>
      </w:r>
      <w:bookmarkStart w:id="58" w:name="_Hlk75191227"/>
      <w:proofErr w:type="spellStart"/>
      <w:r w:rsidRPr="00F23EA2">
        <w:rPr>
          <w:szCs w:val="16"/>
        </w:rPr>
        <w:t>Bundesministerium</w:t>
      </w:r>
      <w:proofErr w:type="spellEnd"/>
      <w:r w:rsidRPr="00F23EA2">
        <w:rPr>
          <w:szCs w:val="16"/>
        </w:rPr>
        <w:t xml:space="preserve"> </w:t>
      </w:r>
      <w:proofErr w:type="spellStart"/>
      <w:r w:rsidRPr="00F23EA2">
        <w:rPr>
          <w:szCs w:val="16"/>
        </w:rPr>
        <w:t>für</w:t>
      </w:r>
      <w:proofErr w:type="spellEnd"/>
      <w:r w:rsidRPr="00F23EA2">
        <w:rPr>
          <w:szCs w:val="16"/>
        </w:rPr>
        <w:t xml:space="preserve"> </w:t>
      </w:r>
      <w:proofErr w:type="spellStart"/>
      <w:r w:rsidRPr="00F23EA2">
        <w:rPr>
          <w:szCs w:val="16"/>
        </w:rPr>
        <w:t>wirtschaftliche</w:t>
      </w:r>
      <w:proofErr w:type="spellEnd"/>
      <w:r w:rsidRPr="00F23EA2">
        <w:rPr>
          <w:szCs w:val="16"/>
        </w:rPr>
        <w:t xml:space="preserve"> </w:t>
      </w:r>
      <w:proofErr w:type="spellStart"/>
      <w:r w:rsidRPr="00F23EA2">
        <w:rPr>
          <w:szCs w:val="16"/>
        </w:rPr>
        <w:t>Zusammenarbeit</w:t>
      </w:r>
      <w:proofErr w:type="spellEnd"/>
      <w:r w:rsidRPr="00F23EA2">
        <w:rPr>
          <w:szCs w:val="16"/>
        </w:rPr>
        <w:t xml:space="preserve"> </w:t>
      </w:r>
      <w:proofErr w:type="spellStart"/>
      <w:r w:rsidRPr="00F23EA2">
        <w:rPr>
          <w:szCs w:val="16"/>
        </w:rPr>
        <w:t>und</w:t>
      </w:r>
      <w:proofErr w:type="spellEnd"/>
      <w:r w:rsidRPr="00F23EA2">
        <w:rPr>
          <w:szCs w:val="16"/>
        </w:rPr>
        <w:t xml:space="preserve"> </w:t>
      </w:r>
      <w:proofErr w:type="spellStart"/>
      <w:r w:rsidRPr="00F23EA2">
        <w:rPr>
          <w:szCs w:val="16"/>
        </w:rPr>
        <w:t>Entwicklung</w:t>
      </w:r>
      <w:proofErr w:type="spellEnd"/>
      <w:r w:rsidRPr="00F23EA2">
        <w:rPr>
          <w:szCs w:val="16"/>
        </w:rPr>
        <w:t xml:space="preserve"> – Federální ministerstvo pro hospodářskou spolupráci a rozvoj</w:t>
      </w:r>
      <w:bookmarkEnd w:id="58"/>
      <w:r w:rsidRPr="00F23EA2">
        <w:rPr>
          <w:szCs w:val="16"/>
        </w:rPr>
        <w:t>.</w:t>
      </w:r>
    </w:p>
  </w:footnote>
  <w:footnote w:id="11">
    <w:p w14:paraId="7EDF79C7" w14:textId="76B0C3E5" w:rsidR="00DA7E0D" w:rsidRPr="00046D97" w:rsidRDefault="00DA7E0D" w:rsidP="00DA7E0D">
      <w:pPr>
        <w:pStyle w:val="Textpoznpodarou"/>
      </w:pPr>
      <w:r w:rsidRPr="00805973">
        <w:rPr>
          <w:rStyle w:val="Znakapoznpodarou"/>
          <w:szCs w:val="16"/>
        </w:rPr>
        <w:footnoteRef/>
      </w:r>
      <w:r w:rsidRPr="00805973">
        <w:rPr>
          <w:szCs w:val="16"/>
        </w:rPr>
        <w:t xml:space="preserve"> Švédská vláda má pět hlavních vládních implementačních agentur, které jsou zodpovědné za výdaje na oficiální rozvojovou pomoc. Její hlavní agenturou je Švédská agentura pro mezinárodní rozvojovou spolupráci (S</w:t>
      </w:r>
      <w:r>
        <w:rPr>
          <w:szCs w:val="16"/>
        </w:rPr>
        <w:t>IDA</w:t>
      </w:r>
      <w:r w:rsidRPr="00805973">
        <w:rPr>
          <w:szCs w:val="16"/>
        </w:rPr>
        <w:t xml:space="preserve">). V roce 2017 byla agentura </w:t>
      </w:r>
      <w:r>
        <w:rPr>
          <w:szCs w:val="16"/>
        </w:rPr>
        <w:t>SIDA</w:t>
      </w:r>
      <w:r w:rsidRPr="00805973">
        <w:rPr>
          <w:szCs w:val="16"/>
        </w:rPr>
        <w:t xml:space="preserve"> zodpovědná za realizaci 47 % celkové švédské ZRS.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5A4"/>
    <w:multiLevelType w:val="hybridMultilevel"/>
    <w:tmpl w:val="B5B43F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A5D41"/>
    <w:multiLevelType w:val="hybridMultilevel"/>
    <w:tmpl w:val="9B3E242C"/>
    <w:lvl w:ilvl="0" w:tplc="0405000B">
      <w:start w:val="1"/>
      <w:numFmt w:val="bullet"/>
      <w:lvlText w:val=""/>
      <w:lvlJc w:val="left"/>
      <w:pPr>
        <w:ind w:left="360" w:hanging="360"/>
      </w:pPr>
      <w:rPr>
        <w:rFonts w:ascii="Wingdings" w:hAnsi="Wingdings" w:hint="default"/>
      </w:rPr>
    </w:lvl>
    <w:lvl w:ilvl="1" w:tplc="09FECB8C">
      <w:start w:val="1"/>
      <w:numFmt w:val="bullet"/>
      <w:lvlText w:val="o"/>
      <w:lvlJc w:val="left"/>
      <w:pPr>
        <w:ind w:left="1080" w:hanging="360"/>
      </w:pPr>
      <w:rPr>
        <w:rFonts w:ascii="Courier New" w:hAnsi="Courier New" w:hint="default"/>
      </w:rPr>
    </w:lvl>
    <w:lvl w:ilvl="2" w:tplc="35BE00D0">
      <w:start w:val="1"/>
      <w:numFmt w:val="bullet"/>
      <w:lvlText w:val=""/>
      <w:lvlJc w:val="left"/>
      <w:pPr>
        <w:ind w:left="1800" w:hanging="360"/>
      </w:pPr>
      <w:rPr>
        <w:rFonts w:ascii="Wingdings" w:hAnsi="Wingdings" w:hint="default"/>
      </w:rPr>
    </w:lvl>
    <w:lvl w:ilvl="3" w:tplc="9CE8E410">
      <w:start w:val="1"/>
      <w:numFmt w:val="bullet"/>
      <w:lvlText w:val=""/>
      <w:lvlJc w:val="left"/>
      <w:pPr>
        <w:ind w:left="2520" w:hanging="360"/>
      </w:pPr>
      <w:rPr>
        <w:rFonts w:ascii="Symbol" w:hAnsi="Symbol" w:hint="default"/>
      </w:rPr>
    </w:lvl>
    <w:lvl w:ilvl="4" w:tplc="FFF6388C">
      <w:start w:val="1"/>
      <w:numFmt w:val="bullet"/>
      <w:lvlText w:val="o"/>
      <w:lvlJc w:val="left"/>
      <w:pPr>
        <w:ind w:left="3240" w:hanging="360"/>
      </w:pPr>
      <w:rPr>
        <w:rFonts w:ascii="Courier New" w:hAnsi="Courier New" w:hint="default"/>
      </w:rPr>
    </w:lvl>
    <w:lvl w:ilvl="5" w:tplc="A87419A8">
      <w:start w:val="1"/>
      <w:numFmt w:val="bullet"/>
      <w:lvlText w:val=""/>
      <w:lvlJc w:val="left"/>
      <w:pPr>
        <w:ind w:left="3960" w:hanging="360"/>
      </w:pPr>
      <w:rPr>
        <w:rFonts w:ascii="Wingdings" w:hAnsi="Wingdings" w:hint="default"/>
      </w:rPr>
    </w:lvl>
    <w:lvl w:ilvl="6" w:tplc="9664F2B4">
      <w:start w:val="1"/>
      <w:numFmt w:val="bullet"/>
      <w:lvlText w:val=""/>
      <w:lvlJc w:val="left"/>
      <w:pPr>
        <w:ind w:left="4680" w:hanging="360"/>
      </w:pPr>
      <w:rPr>
        <w:rFonts w:ascii="Symbol" w:hAnsi="Symbol" w:hint="default"/>
      </w:rPr>
    </w:lvl>
    <w:lvl w:ilvl="7" w:tplc="6D4671BA">
      <w:start w:val="1"/>
      <w:numFmt w:val="bullet"/>
      <w:lvlText w:val="o"/>
      <w:lvlJc w:val="left"/>
      <w:pPr>
        <w:ind w:left="5400" w:hanging="360"/>
      </w:pPr>
      <w:rPr>
        <w:rFonts w:ascii="Courier New" w:hAnsi="Courier New" w:hint="default"/>
      </w:rPr>
    </w:lvl>
    <w:lvl w:ilvl="8" w:tplc="589256FE">
      <w:start w:val="1"/>
      <w:numFmt w:val="bullet"/>
      <w:lvlText w:val=""/>
      <w:lvlJc w:val="left"/>
      <w:pPr>
        <w:ind w:left="6120" w:hanging="360"/>
      </w:pPr>
      <w:rPr>
        <w:rFonts w:ascii="Wingdings" w:hAnsi="Wingdings" w:hint="default"/>
      </w:rPr>
    </w:lvl>
  </w:abstractNum>
  <w:abstractNum w:abstractNumId="2" w15:restartNumberingAfterBreak="0">
    <w:nsid w:val="110E78F1"/>
    <w:multiLevelType w:val="hybridMultilevel"/>
    <w:tmpl w:val="9D6CE64E"/>
    <w:lvl w:ilvl="0" w:tplc="8F66E9A2">
      <w:start w:val="1"/>
      <w:numFmt w:val="decimal"/>
      <w:pStyle w:val="Nadpis2ZZ"/>
      <w:lvlText w:val="%1.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 w15:restartNumberingAfterBreak="0">
    <w:nsid w:val="1393251B"/>
    <w:multiLevelType w:val="multilevel"/>
    <w:tmpl w:val="6FF0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14330"/>
    <w:multiLevelType w:val="hybridMultilevel"/>
    <w:tmpl w:val="A372F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124B9"/>
    <w:multiLevelType w:val="hybridMultilevel"/>
    <w:tmpl w:val="6CA21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A404EC"/>
    <w:multiLevelType w:val="hybridMultilevel"/>
    <w:tmpl w:val="C2A271CA"/>
    <w:lvl w:ilvl="0" w:tplc="C1020106">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5238CD"/>
    <w:multiLevelType w:val="hybridMultilevel"/>
    <w:tmpl w:val="97285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E379CD"/>
    <w:multiLevelType w:val="hybridMultilevel"/>
    <w:tmpl w:val="10BAF8B0"/>
    <w:lvl w:ilvl="0" w:tplc="0405000B">
      <w:start w:val="1"/>
      <w:numFmt w:val="bullet"/>
      <w:lvlText w:val=""/>
      <w:lvlJc w:val="left"/>
      <w:pPr>
        <w:ind w:left="720" w:hanging="360"/>
      </w:pPr>
      <w:rPr>
        <w:rFonts w:ascii="Wingdings" w:hAnsi="Wingdings" w:hint="default"/>
      </w:rPr>
    </w:lvl>
    <w:lvl w:ilvl="1" w:tplc="A2A2CFCE">
      <w:start w:val="1"/>
      <w:numFmt w:val="bullet"/>
      <w:lvlText w:val="o"/>
      <w:lvlJc w:val="left"/>
      <w:pPr>
        <w:ind w:left="1440" w:hanging="360"/>
      </w:pPr>
      <w:rPr>
        <w:rFonts w:ascii="Courier New" w:hAnsi="Courier New" w:hint="default"/>
      </w:rPr>
    </w:lvl>
    <w:lvl w:ilvl="2" w:tplc="96F4946E">
      <w:start w:val="1"/>
      <w:numFmt w:val="bullet"/>
      <w:lvlText w:val=""/>
      <w:lvlJc w:val="left"/>
      <w:pPr>
        <w:ind w:left="2160" w:hanging="360"/>
      </w:pPr>
      <w:rPr>
        <w:rFonts w:ascii="Wingdings" w:hAnsi="Wingdings" w:hint="default"/>
      </w:rPr>
    </w:lvl>
    <w:lvl w:ilvl="3" w:tplc="B78AC7C4">
      <w:start w:val="1"/>
      <w:numFmt w:val="bullet"/>
      <w:lvlText w:val=""/>
      <w:lvlJc w:val="left"/>
      <w:pPr>
        <w:ind w:left="2880" w:hanging="360"/>
      </w:pPr>
      <w:rPr>
        <w:rFonts w:ascii="Symbol" w:hAnsi="Symbol" w:hint="default"/>
      </w:rPr>
    </w:lvl>
    <w:lvl w:ilvl="4" w:tplc="3BF22AEA">
      <w:start w:val="1"/>
      <w:numFmt w:val="bullet"/>
      <w:lvlText w:val="o"/>
      <w:lvlJc w:val="left"/>
      <w:pPr>
        <w:ind w:left="3600" w:hanging="360"/>
      </w:pPr>
      <w:rPr>
        <w:rFonts w:ascii="Courier New" w:hAnsi="Courier New" w:hint="default"/>
      </w:rPr>
    </w:lvl>
    <w:lvl w:ilvl="5" w:tplc="AC0A7932">
      <w:start w:val="1"/>
      <w:numFmt w:val="bullet"/>
      <w:lvlText w:val=""/>
      <w:lvlJc w:val="left"/>
      <w:pPr>
        <w:ind w:left="4320" w:hanging="360"/>
      </w:pPr>
      <w:rPr>
        <w:rFonts w:ascii="Wingdings" w:hAnsi="Wingdings" w:hint="default"/>
      </w:rPr>
    </w:lvl>
    <w:lvl w:ilvl="6" w:tplc="FC200FBC">
      <w:start w:val="1"/>
      <w:numFmt w:val="bullet"/>
      <w:lvlText w:val=""/>
      <w:lvlJc w:val="left"/>
      <w:pPr>
        <w:ind w:left="5040" w:hanging="360"/>
      </w:pPr>
      <w:rPr>
        <w:rFonts w:ascii="Symbol" w:hAnsi="Symbol" w:hint="default"/>
      </w:rPr>
    </w:lvl>
    <w:lvl w:ilvl="7" w:tplc="FE3282F8">
      <w:start w:val="1"/>
      <w:numFmt w:val="bullet"/>
      <w:lvlText w:val="o"/>
      <w:lvlJc w:val="left"/>
      <w:pPr>
        <w:ind w:left="5760" w:hanging="360"/>
      </w:pPr>
      <w:rPr>
        <w:rFonts w:ascii="Courier New" w:hAnsi="Courier New" w:hint="default"/>
      </w:rPr>
    </w:lvl>
    <w:lvl w:ilvl="8" w:tplc="DE785CE8">
      <w:start w:val="1"/>
      <w:numFmt w:val="bullet"/>
      <w:lvlText w:val=""/>
      <w:lvlJc w:val="left"/>
      <w:pPr>
        <w:ind w:left="6480" w:hanging="360"/>
      </w:pPr>
      <w:rPr>
        <w:rFonts w:ascii="Wingdings" w:hAnsi="Wingdings" w:hint="default"/>
      </w:rPr>
    </w:lvl>
  </w:abstractNum>
  <w:abstractNum w:abstractNumId="9" w15:restartNumberingAfterBreak="0">
    <w:nsid w:val="36B61888"/>
    <w:multiLevelType w:val="multilevel"/>
    <w:tmpl w:val="9F725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362C5"/>
    <w:multiLevelType w:val="hybridMultilevel"/>
    <w:tmpl w:val="370E8D2A"/>
    <w:lvl w:ilvl="0" w:tplc="117650EC">
      <w:start w:val="1"/>
      <w:numFmt w:val="lowerRoman"/>
      <w:lvlText w:val="(%1)"/>
      <w:lvlJc w:val="left"/>
      <w:pPr>
        <w:ind w:left="2160" w:hanging="360"/>
      </w:pPr>
      <w:rPr>
        <w:rFonts w:ascii="Times New Roman" w:eastAsiaTheme="minorHAnsi" w:hAnsi="Times New Roman" w:cs="Times New Roman"/>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438D3FC0"/>
    <w:multiLevelType w:val="hybridMultilevel"/>
    <w:tmpl w:val="DF5A42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2B0A76"/>
    <w:multiLevelType w:val="hybridMultilevel"/>
    <w:tmpl w:val="EA02C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74388A"/>
    <w:multiLevelType w:val="hybridMultilevel"/>
    <w:tmpl w:val="826E5BA4"/>
    <w:lvl w:ilvl="0" w:tplc="0405000B">
      <w:start w:val="1"/>
      <w:numFmt w:val="bullet"/>
      <w:lvlText w:val=""/>
      <w:lvlJc w:val="left"/>
      <w:pPr>
        <w:ind w:left="360" w:hanging="360"/>
      </w:pPr>
      <w:rPr>
        <w:rFonts w:ascii="Wingdings" w:hAnsi="Wingdings" w:hint="default"/>
      </w:rPr>
    </w:lvl>
    <w:lvl w:ilvl="1" w:tplc="961A0E8A">
      <w:start w:val="1"/>
      <w:numFmt w:val="bullet"/>
      <w:lvlText w:val="o"/>
      <w:lvlJc w:val="left"/>
      <w:pPr>
        <w:ind w:left="1080" w:hanging="360"/>
      </w:pPr>
      <w:rPr>
        <w:rFonts w:ascii="Courier New" w:hAnsi="Courier New" w:hint="default"/>
      </w:rPr>
    </w:lvl>
    <w:lvl w:ilvl="2" w:tplc="33EEAD60">
      <w:start w:val="1"/>
      <w:numFmt w:val="bullet"/>
      <w:lvlText w:val=""/>
      <w:lvlJc w:val="left"/>
      <w:pPr>
        <w:ind w:left="1800" w:hanging="360"/>
      </w:pPr>
      <w:rPr>
        <w:rFonts w:ascii="Wingdings" w:hAnsi="Wingdings" w:hint="default"/>
      </w:rPr>
    </w:lvl>
    <w:lvl w:ilvl="3" w:tplc="C3D2F0FA">
      <w:start w:val="1"/>
      <w:numFmt w:val="bullet"/>
      <w:lvlText w:val=""/>
      <w:lvlJc w:val="left"/>
      <w:pPr>
        <w:ind w:left="2520" w:hanging="360"/>
      </w:pPr>
      <w:rPr>
        <w:rFonts w:ascii="Symbol" w:hAnsi="Symbol" w:hint="default"/>
      </w:rPr>
    </w:lvl>
    <w:lvl w:ilvl="4" w:tplc="6FE28D96">
      <w:start w:val="1"/>
      <w:numFmt w:val="bullet"/>
      <w:lvlText w:val="o"/>
      <w:lvlJc w:val="left"/>
      <w:pPr>
        <w:ind w:left="3240" w:hanging="360"/>
      </w:pPr>
      <w:rPr>
        <w:rFonts w:ascii="Courier New" w:hAnsi="Courier New" w:hint="default"/>
      </w:rPr>
    </w:lvl>
    <w:lvl w:ilvl="5" w:tplc="3A48374A">
      <w:start w:val="1"/>
      <w:numFmt w:val="bullet"/>
      <w:lvlText w:val=""/>
      <w:lvlJc w:val="left"/>
      <w:pPr>
        <w:ind w:left="3960" w:hanging="360"/>
      </w:pPr>
      <w:rPr>
        <w:rFonts w:ascii="Wingdings" w:hAnsi="Wingdings" w:hint="default"/>
      </w:rPr>
    </w:lvl>
    <w:lvl w:ilvl="6" w:tplc="874868EE">
      <w:start w:val="1"/>
      <w:numFmt w:val="bullet"/>
      <w:lvlText w:val=""/>
      <w:lvlJc w:val="left"/>
      <w:pPr>
        <w:ind w:left="4680" w:hanging="360"/>
      </w:pPr>
      <w:rPr>
        <w:rFonts w:ascii="Symbol" w:hAnsi="Symbol" w:hint="default"/>
      </w:rPr>
    </w:lvl>
    <w:lvl w:ilvl="7" w:tplc="1166D7EE">
      <w:start w:val="1"/>
      <w:numFmt w:val="bullet"/>
      <w:lvlText w:val="o"/>
      <w:lvlJc w:val="left"/>
      <w:pPr>
        <w:ind w:left="5400" w:hanging="360"/>
      </w:pPr>
      <w:rPr>
        <w:rFonts w:ascii="Courier New" w:hAnsi="Courier New" w:hint="default"/>
      </w:rPr>
    </w:lvl>
    <w:lvl w:ilvl="8" w:tplc="51A21DBA">
      <w:start w:val="1"/>
      <w:numFmt w:val="bullet"/>
      <w:lvlText w:val=""/>
      <w:lvlJc w:val="left"/>
      <w:pPr>
        <w:ind w:left="6120" w:hanging="360"/>
      </w:pPr>
      <w:rPr>
        <w:rFonts w:ascii="Wingdings" w:hAnsi="Wingdings" w:hint="default"/>
      </w:rPr>
    </w:lvl>
  </w:abstractNum>
  <w:abstractNum w:abstractNumId="14" w15:restartNumberingAfterBreak="0">
    <w:nsid w:val="69B87413"/>
    <w:multiLevelType w:val="multilevel"/>
    <w:tmpl w:val="D8C0F1BA"/>
    <w:lvl w:ilvl="0">
      <w:start w:val="1"/>
      <w:numFmt w:val="decimal"/>
      <w:pStyle w:val="Nadpis1EDREO"/>
      <w:lvlText w:val="%1."/>
      <w:lvlJc w:val="left"/>
      <w:pPr>
        <w:ind w:left="9290" w:hanging="360"/>
      </w:pPr>
    </w:lvl>
    <w:lvl w:ilvl="1">
      <w:start w:val="1"/>
      <w:numFmt w:val="decimal"/>
      <w:pStyle w:val="Nadpis2EDREO"/>
      <w:lvlText w:val="%1.%2."/>
      <w:lvlJc w:val="left"/>
      <w:pPr>
        <w:ind w:left="6386" w:hanging="432"/>
      </w:pPr>
    </w:lvl>
    <w:lvl w:ilvl="2">
      <w:start w:val="1"/>
      <w:numFmt w:val="decimal"/>
      <w:pStyle w:val="Nadpis3EDRE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3B2427"/>
    <w:multiLevelType w:val="hybridMultilevel"/>
    <w:tmpl w:val="28F6B632"/>
    <w:lvl w:ilvl="0" w:tplc="0405000B">
      <w:start w:val="1"/>
      <w:numFmt w:val="bullet"/>
      <w:lvlText w:val=""/>
      <w:lvlJc w:val="left"/>
      <w:pPr>
        <w:ind w:left="360" w:hanging="360"/>
      </w:pPr>
      <w:rPr>
        <w:rFonts w:ascii="Wingdings" w:hAnsi="Wingdings" w:hint="default"/>
      </w:rPr>
    </w:lvl>
    <w:lvl w:ilvl="1" w:tplc="09FECB8C">
      <w:start w:val="1"/>
      <w:numFmt w:val="bullet"/>
      <w:lvlText w:val="o"/>
      <w:lvlJc w:val="left"/>
      <w:pPr>
        <w:ind w:left="1080" w:hanging="360"/>
      </w:pPr>
      <w:rPr>
        <w:rFonts w:ascii="Courier New" w:hAnsi="Courier New" w:hint="default"/>
      </w:rPr>
    </w:lvl>
    <w:lvl w:ilvl="2" w:tplc="35BE00D0">
      <w:start w:val="1"/>
      <w:numFmt w:val="bullet"/>
      <w:lvlText w:val=""/>
      <w:lvlJc w:val="left"/>
      <w:pPr>
        <w:ind w:left="1800" w:hanging="360"/>
      </w:pPr>
      <w:rPr>
        <w:rFonts w:ascii="Wingdings" w:hAnsi="Wingdings" w:hint="default"/>
      </w:rPr>
    </w:lvl>
    <w:lvl w:ilvl="3" w:tplc="9CE8E410">
      <w:start w:val="1"/>
      <w:numFmt w:val="bullet"/>
      <w:lvlText w:val=""/>
      <w:lvlJc w:val="left"/>
      <w:pPr>
        <w:ind w:left="2520" w:hanging="360"/>
      </w:pPr>
      <w:rPr>
        <w:rFonts w:ascii="Symbol" w:hAnsi="Symbol" w:hint="default"/>
      </w:rPr>
    </w:lvl>
    <w:lvl w:ilvl="4" w:tplc="FFF6388C">
      <w:start w:val="1"/>
      <w:numFmt w:val="bullet"/>
      <w:lvlText w:val="o"/>
      <w:lvlJc w:val="left"/>
      <w:pPr>
        <w:ind w:left="3240" w:hanging="360"/>
      </w:pPr>
      <w:rPr>
        <w:rFonts w:ascii="Courier New" w:hAnsi="Courier New" w:hint="default"/>
      </w:rPr>
    </w:lvl>
    <w:lvl w:ilvl="5" w:tplc="A87419A8">
      <w:start w:val="1"/>
      <w:numFmt w:val="bullet"/>
      <w:lvlText w:val=""/>
      <w:lvlJc w:val="left"/>
      <w:pPr>
        <w:ind w:left="3960" w:hanging="360"/>
      </w:pPr>
      <w:rPr>
        <w:rFonts w:ascii="Wingdings" w:hAnsi="Wingdings" w:hint="default"/>
      </w:rPr>
    </w:lvl>
    <w:lvl w:ilvl="6" w:tplc="9664F2B4">
      <w:start w:val="1"/>
      <w:numFmt w:val="bullet"/>
      <w:lvlText w:val=""/>
      <w:lvlJc w:val="left"/>
      <w:pPr>
        <w:ind w:left="4680" w:hanging="360"/>
      </w:pPr>
      <w:rPr>
        <w:rFonts w:ascii="Symbol" w:hAnsi="Symbol" w:hint="default"/>
      </w:rPr>
    </w:lvl>
    <w:lvl w:ilvl="7" w:tplc="6D4671BA">
      <w:start w:val="1"/>
      <w:numFmt w:val="bullet"/>
      <w:lvlText w:val="o"/>
      <w:lvlJc w:val="left"/>
      <w:pPr>
        <w:ind w:left="5400" w:hanging="360"/>
      </w:pPr>
      <w:rPr>
        <w:rFonts w:ascii="Courier New" w:hAnsi="Courier New" w:hint="default"/>
      </w:rPr>
    </w:lvl>
    <w:lvl w:ilvl="8" w:tplc="589256FE">
      <w:start w:val="1"/>
      <w:numFmt w:val="bullet"/>
      <w:lvlText w:val=""/>
      <w:lvlJc w:val="left"/>
      <w:pPr>
        <w:ind w:left="6120" w:hanging="360"/>
      </w:pPr>
      <w:rPr>
        <w:rFonts w:ascii="Wingdings" w:hAnsi="Wingdings" w:hint="default"/>
      </w:rPr>
    </w:lvl>
  </w:abstractNum>
  <w:abstractNum w:abstractNumId="16" w15:restartNumberingAfterBreak="0">
    <w:nsid w:val="72A45DB4"/>
    <w:multiLevelType w:val="multilevel"/>
    <w:tmpl w:val="E3E2F326"/>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2F5496" w:themeColor="accent1" w:themeShade="BF"/>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4A93763"/>
    <w:multiLevelType w:val="hybridMultilevel"/>
    <w:tmpl w:val="0D70E948"/>
    <w:lvl w:ilvl="0" w:tplc="DBFCEADE">
      <w:start w:val="1"/>
      <w:numFmt w:val="bullet"/>
      <w:pStyle w:val="zjitn"/>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3313FE"/>
    <w:multiLevelType w:val="hybridMultilevel"/>
    <w:tmpl w:val="5FA6FC8A"/>
    <w:lvl w:ilvl="0" w:tplc="0405000B">
      <w:start w:val="1"/>
      <w:numFmt w:val="bullet"/>
      <w:lvlText w:val=""/>
      <w:lvlJc w:val="left"/>
      <w:pPr>
        <w:ind w:left="720" w:hanging="360"/>
      </w:pPr>
      <w:rPr>
        <w:rFonts w:ascii="Wingdings" w:hAnsi="Wingdings" w:hint="default"/>
      </w:rPr>
    </w:lvl>
    <w:lvl w:ilvl="1" w:tplc="F9585AB4">
      <w:start w:val="1"/>
      <w:numFmt w:val="bullet"/>
      <w:lvlText w:val="o"/>
      <w:lvlJc w:val="left"/>
      <w:pPr>
        <w:ind w:left="1440" w:hanging="360"/>
      </w:pPr>
      <w:rPr>
        <w:rFonts w:ascii="Courier New" w:hAnsi="Courier New" w:hint="default"/>
      </w:rPr>
    </w:lvl>
    <w:lvl w:ilvl="2" w:tplc="1EFE5DCA">
      <w:start w:val="1"/>
      <w:numFmt w:val="bullet"/>
      <w:lvlText w:val=""/>
      <w:lvlJc w:val="left"/>
      <w:pPr>
        <w:ind w:left="2160" w:hanging="360"/>
      </w:pPr>
      <w:rPr>
        <w:rFonts w:ascii="Wingdings" w:hAnsi="Wingdings" w:hint="default"/>
      </w:rPr>
    </w:lvl>
    <w:lvl w:ilvl="3" w:tplc="8E98EB90">
      <w:start w:val="1"/>
      <w:numFmt w:val="bullet"/>
      <w:lvlText w:val=""/>
      <w:lvlJc w:val="left"/>
      <w:pPr>
        <w:ind w:left="2880" w:hanging="360"/>
      </w:pPr>
      <w:rPr>
        <w:rFonts w:ascii="Symbol" w:hAnsi="Symbol" w:hint="default"/>
      </w:rPr>
    </w:lvl>
    <w:lvl w:ilvl="4" w:tplc="7CBEE130">
      <w:start w:val="1"/>
      <w:numFmt w:val="bullet"/>
      <w:lvlText w:val="o"/>
      <w:lvlJc w:val="left"/>
      <w:pPr>
        <w:ind w:left="3600" w:hanging="360"/>
      </w:pPr>
      <w:rPr>
        <w:rFonts w:ascii="Courier New" w:hAnsi="Courier New" w:hint="default"/>
      </w:rPr>
    </w:lvl>
    <w:lvl w:ilvl="5" w:tplc="8790158E">
      <w:start w:val="1"/>
      <w:numFmt w:val="bullet"/>
      <w:lvlText w:val=""/>
      <w:lvlJc w:val="left"/>
      <w:pPr>
        <w:ind w:left="4320" w:hanging="360"/>
      </w:pPr>
      <w:rPr>
        <w:rFonts w:ascii="Wingdings" w:hAnsi="Wingdings" w:hint="default"/>
      </w:rPr>
    </w:lvl>
    <w:lvl w:ilvl="6" w:tplc="36140664">
      <w:start w:val="1"/>
      <w:numFmt w:val="bullet"/>
      <w:lvlText w:val=""/>
      <w:lvlJc w:val="left"/>
      <w:pPr>
        <w:ind w:left="5040" w:hanging="360"/>
      </w:pPr>
      <w:rPr>
        <w:rFonts w:ascii="Symbol" w:hAnsi="Symbol" w:hint="default"/>
      </w:rPr>
    </w:lvl>
    <w:lvl w:ilvl="7" w:tplc="83B8B3D6">
      <w:start w:val="1"/>
      <w:numFmt w:val="bullet"/>
      <w:lvlText w:val="o"/>
      <w:lvlJc w:val="left"/>
      <w:pPr>
        <w:ind w:left="5760" w:hanging="360"/>
      </w:pPr>
      <w:rPr>
        <w:rFonts w:ascii="Courier New" w:hAnsi="Courier New" w:hint="default"/>
      </w:rPr>
    </w:lvl>
    <w:lvl w:ilvl="8" w:tplc="8AAA27BA">
      <w:start w:val="1"/>
      <w:numFmt w:val="bullet"/>
      <w:lvlText w:val=""/>
      <w:lvlJc w:val="left"/>
      <w:pPr>
        <w:ind w:left="6480" w:hanging="360"/>
      </w:pPr>
      <w:rPr>
        <w:rFonts w:ascii="Wingdings" w:hAnsi="Wingdings" w:hint="default"/>
      </w:rPr>
    </w:lvl>
  </w:abstractNum>
  <w:abstractNum w:abstractNumId="19" w15:restartNumberingAfterBreak="0">
    <w:nsid w:val="7C0A65F3"/>
    <w:multiLevelType w:val="hybridMultilevel"/>
    <w:tmpl w:val="EE92EAC4"/>
    <w:lvl w:ilvl="0" w:tplc="0405000B">
      <w:start w:val="1"/>
      <w:numFmt w:val="bullet"/>
      <w:lvlText w:val=""/>
      <w:lvlJc w:val="left"/>
      <w:pPr>
        <w:ind w:left="720" w:hanging="360"/>
      </w:pPr>
      <w:rPr>
        <w:rFonts w:ascii="Wingdings" w:hAnsi="Wingdings" w:hint="default"/>
      </w:rPr>
    </w:lvl>
    <w:lvl w:ilvl="1" w:tplc="4F60770E">
      <w:start w:val="1"/>
      <w:numFmt w:val="bullet"/>
      <w:lvlText w:val="o"/>
      <w:lvlJc w:val="left"/>
      <w:pPr>
        <w:ind w:left="1440" w:hanging="360"/>
      </w:pPr>
      <w:rPr>
        <w:rFonts w:ascii="Courier New" w:hAnsi="Courier New" w:hint="default"/>
      </w:rPr>
    </w:lvl>
    <w:lvl w:ilvl="2" w:tplc="F822D9A0">
      <w:start w:val="1"/>
      <w:numFmt w:val="bullet"/>
      <w:lvlText w:val=""/>
      <w:lvlJc w:val="left"/>
      <w:pPr>
        <w:ind w:left="2160" w:hanging="360"/>
      </w:pPr>
      <w:rPr>
        <w:rFonts w:ascii="Wingdings" w:hAnsi="Wingdings" w:hint="default"/>
      </w:rPr>
    </w:lvl>
    <w:lvl w:ilvl="3" w:tplc="626C5712">
      <w:start w:val="1"/>
      <w:numFmt w:val="bullet"/>
      <w:lvlText w:val=""/>
      <w:lvlJc w:val="left"/>
      <w:pPr>
        <w:ind w:left="2880" w:hanging="360"/>
      </w:pPr>
      <w:rPr>
        <w:rFonts w:ascii="Symbol" w:hAnsi="Symbol" w:hint="default"/>
      </w:rPr>
    </w:lvl>
    <w:lvl w:ilvl="4" w:tplc="CFB026FE">
      <w:start w:val="1"/>
      <w:numFmt w:val="bullet"/>
      <w:lvlText w:val="o"/>
      <w:lvlJc w:val="left"/>
      <w:pPr>
        <w:ind w:left="3600" w:hanging="360"/>
      </w:pPr>
      <w:rPr>
        <w:rFonts w:ascii="Courier New" w:hAnsi="Courier New" w:hint="default"/>
      </w:rPr>
    </w:lvl>
    <w:lvl w:ilvl="5" w:tplc="3D7C36C4">
      <w:start w:val="1"/>
      <w:numFmt w:val="bullet"/>
      <w:lvlText w:val=""/>
      <w:lvlJc w:val="left"/>
      <w:pPr>
        <w:ind w:left="4320" w:hanging="360"/>
      </w:pPr>
      <w:rPr>
        <w:rFonts w:ascii="Wingdings" w:hAnsi="Wingdings" w:hint="default"/>
      </w:rPr>
    </w:lvl>
    <w:lvl w:ilvl="6" w:tplc="5DA4D3C2">
      <w:start w:val="1"/>
      <w:numFmt w:val="bullet"/>
      <w:lvlText w:val=""/>
      <w:lvlJc w:val="left"/>
      <w:pPr>
        <w:ind w:left="5040" w:hanging="360"/>
      </w:pPr>
      <w:rPr>
        <w:rFonts w:ascii="Symbol" w:hAnsi="Symbol" w:hint="default"/>
      </w:rPr>
    </w:lvl>
    <w:lvl w:ilvl="7" w:tplc="578ADDD4">
      <w:start w:val="1"/>
      <w:numFmt w:val="bullet"/>
      <w:lvlText w:val="o"/>
      <w:lvlJc w:val="left"/>
      <w:pPr>
        <w:ind w:left="5760" w:hanging="360"/>
      </w:pPr>
      <w:rPr>
        <w:rFonts w:ascii="Courier New" w:hAnsi="Courier New" w:hint="default"/>
      </w:rPr>
    </w:lvl>
    <w:lvl w:ilvl="8" w:tplc="CD7231A0">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6"/>
  </w:num>
  <w:num w:numId="5">
    <w:abstractNumId w:val="1"/>
  </w:num>
  <w:num w:numId="6">
    <w:abstractNumId w:val="13"/>
  </w:num>
  <w:num w:numId="7">
    <w:abstractNumId w:val="11"/>
  </w:num>
  <w:num w:numId="8">
    <w:abstractNumId w:val="15"/>
  </w:num>
  <w:num w:numId="9">
    <w:abstractNumId w:val="8"/>
  </w:num>
  <w:num w:numId="10">
    <w:abstractNumId w:val="18"/>
  </w:num>
  <w:num w:numId="11">
    <w:abstractNumId w:val="19"/>
  </w:num>
  <w:num w:numId="12">
    <w:abstractNumId w:val="10"/>
  </w:num>
  <w:num w:numId="13">
    <w:abstractNumId w:val="12"/>
  </w:num>
  <w:num w:numId="14">
    <w:abstractNumId w:val="5"/>
  </w:num>
  <w:num w:numId="15">
    <w:abstractNumId w:val="2"/>
  </w:num>
  <w:num w:numId="16">
    <w:abstractNumId w:val="9"/>
  </w:num>
  <w:num w:numId="17">
    <w:abstractNumId w:val="4"/>
  </w:num>
  <w:num w:numId="18">
    <w:abstractNumId w:val="0"/>
  </w:num>
  <w:num w:numId="19">
    <w:abstractNumId w:val="7"/>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0"/>
    <w:rsid w:val="000001CA"/>
    <w:rsid w:val="0000105A"/>
    <w:rsid w:val="000018E4"/>
    <w:rsid w:val="00001D5D"/>
    <w:rsid w:val="0000220E"/>
    <w:rsid w:val="00003D02"/>
    <w:rsid w:val="00004D72"/>
    <w:rsid w:val="0000527A"/>
    <w:rsid w:val="0000599E"/>
    <w:rsid w:val="00005B4D"/>
    <w:rsid w:val="000063D5"/>
    <w:rsid w:val="000071B8"/>
    <w:rsid w:val="00007B40"/>
    <w:rsid w:val="00011935"/>
    <w:rsid w:val="000125A6"/>
    <w:rsid w:val="00013057"/>
    <w:rsid w:val="000131DE"/>
    <w:rsid w:val="0001330E"/>
    <w:rsid w:val="000139D1"/>
    <w:rsid w:val="00014C4B"/>
    <w:rsid w:val="00015BB1"/>
    <w:rsid w:val="000166FE"/>
    <w:rsid w:val="0001690D"/>
    <w:rsid w:val="00016F77"/>
    <w:rsid w:val="00016F81"/>
    <w:rsid w:val="00022721"/>
    <w:rsid w:val="000234AF"/>
    <w:rsid w:val="00023B3B"/>
    <w:rsid w:val="00023FC8"/>
    <w:rsid w:val="00025048"/>
    <w:rsid w:val="000302CD"/>
    <w:rsid w:val="000310CA"/>
    <w:rsid w:val="00031900"/>
    <w:rsid w:val="00031E4A"/>
    <w:rsid w:val="000321D0"/>
    <w:rsid w:val="0003280E"/>
    <w:rsid w:val="00032CA8"/>
    <w:rsid w:val="000349B3"/>
    <w:rsid w:val="0003536E"/>
    <w:rsid w:val="00036127"/>
    <w:rsid w:val="00036457"/>
    <w:rsid w:val="0003681B"/>
    <w:rsid w:val="00040651"/>
    <w:rsid w:val="000408AB"/>
    <w:rsid w:val="000409CD"/>
    <w:rsid w:val="00041CD8"/>
    <w:rsid w:val="00042E7B"/>
    <w:rsid w:val="00044C13"/>
    <w:rsid w:val="00044F18"/>
    <w:rsid w:val="00045242"/>
    <w:rsid w:val="000454FB"/>
    <w:rsid w:val="000462CD"/>
    <w:rsid w:val="000479F1"/>
    <w:rsid w:val="0005030A"/>
    <w:rsid w:val="000507E0"/>
    <w:rsid w:val="00050839"/>
    <w:rsid w:val="00050B8E"/>
    <w:rsid w:val="00053134"/>
    <w:rsid w:val="00053440"/>
    <w:rsid w:val="00054590"/>
    <w:rsid w:val="000548AB"/>
    <w:rsid w:val="00055AF7"/>
    <w:rsid w:val="000613F8"/>
    <w:rsid w:val="00062D09"/>
    <w:rsid w:val="00063CC9"/>
    <w:rsid w:val="00065EDC"/>
    <w:rsid w:val="000678BD"/>
    <w:rsid w:val="00070120"/>
    <w:rsid w:val="00070750"/>
    <w:rsid w:val="00071407"/>
    <w:rsid w:val="00071F76"/>
    <w:rsid w:val="00072020"/>
    <w:rsid w:val="0007204D"/>
    <w:rsid w:val="00073426"/>
    <w:rsid w:val="00075655"/>
    <w:rsid w:val="000762E1"/>
    <w:rsid w:val="00076B48"/>
    <w:rsid w:val="0008007B"/>
    <w:rsid w:val="00080599"/>
    <w:rsid w:val="0008066E"/>
    <w:rsid w:val="00080D3D"/>
    <w:rsid w:val="0008242C"/>
    <w:rsid w:val="00084A1D"/>
    <w:rsid w:val="00085B4F"/>
    <w:rsid w:val="00087748"/>
    <w:rsid w:val="00091303"/>
    <w:rsid w:val="00092527"/>
    <w:rsid w:val="00095810"/>
    <w:rsid w:val="00095F57"/>
    <w:rsid w:val="00096FF4"/>
    <w:rsid w:val="0009769D"/>
    <w:rsid w:val="00097A32"/>
    <w:rsid w:val="000A0086"/>
    <w:rsid w:val="000A0378"/>
    <w:rsid w:val="000A1440"/>
    <w:rsid w:val="000A40B2"/>
    <w:rsid w:val="000A5201"/>
    <w:rsid w:val="000A5E20"/>
    <w:rsid w:val="000A6295"/>
    <w:rsid w:val="000B229A"/>
    <w:rsid w:val="000B2A03"/>
    <w:rsid w:val="000B4BBA"/>
    <w:rsid w:val="000B545F"/>
    <w:rsid w:val="000B5B47"/>
    <w:rsid w:val="000B76FF"/>
    <w:rsid w:val="000C0A54"/>
    <w:rsid w:val="000C0C16"/>
    <w:rsid w:val="000C0E35"/>
    <w:rsid w:val="000C18DE"/>
    <w:rsid w:val="000C1C7B"/>
    <w:rsid w:val="000C1FE9"/>
    <w:rsid w:val="000C2669"/>
    <w:rsid w:val="000C44B4"/>
    <w:rsid w:val="000C4854"/>
    <w:rsid w:val="000C4858"/>
    <w:rsid w:val="000C5927"/>
    <w:rsid w:val="000C629D"/>
    <w:rsid w:val="000C66DF"/>
    <w:rsid w:val="000C673F"/>
    <w:rsid w:val="000C69CC"/>
    <w:rsid w:val="000D037F"/>
    <w:rsid w:val="000D173A"/>
    <w:rsid w:val="000D1D44"/>
    <w:rsid w:val="000D28F2"/>
    <w:rsid w:val="000D31F6"/>
    <w:rsid w:val="000D3960"/>
    <w:rsid w:val="000D39B2"/>
    <w:rsid w:val="000D45CB"/>
    <w:rsid w:val="000D475C"/>
    <w:rsid w:val="000E0D90"/>
    <w:rsid w:val="000E0F61"/>
    <w:rsid w:val="000E217E"/>
    <w:rsid w:val="000E34BD"/>
    <w:rsid w:val="000E4FA0"/>
    <w:rsid w:val="000E68C1"/>
    <w:rsid w:val="000F15AB"/>
    <w:rsid w:val="000F31EE"/>
    <w:rsid w:val="000F3686"/>
    <w:rsid w:val="000F42CE"/>
    <w:rsid w:val="000F78D9"/>
    <w:rsid w:val="00100B34"/>
    <w:rsid w:val="00101B93"/>
    <w:rsid w:val="00102891"/>
    <w:rsid w:val="001042BF"/>
    <w:rsid w:val="001062C2"/>
    <w:rsid w:val="00106CF9"/>
    <w:rsid w:val="001073DE"/>
    <w:rsid w:val="001075E3"/>
    <w:rsid w:val="0011074C"/>
    <w:rsid w:val="00112D89"/>
    <w:rsid w:val="00113FF1"/>
    <w:rsid w:val="001155F9"/>
    <w:rsid w:val="0011624B"/>
    <w:rsid w:val="00116547"/>
    <w:rsid w:val="00116BF6"/>
    <w:rsid w:val="00120541"/>
    <w:rsid w:val="00123284"/>
    <w:rsid w:val="0012328E"/>
    <w:rsid w:val="00123873"/>
    <w:rsid w:val="001239F0"/>
    <w:rsid w:val="00123D99"/>
    <w:rsid w:val="0012483C"/>
    <w:rsid w:val="00126AE5"/>
    <w:rsid w:val="00127958"/>
    <w:rsid w:val="00130C08"/>
    <w:rsid w:val="00131A68"/>
    <w:rsid w:val="00133BD8"/>
    <w:rsid w:val="00134B02"/>
    <w:rsid w:val="001350F1"/>
    <w:rsid w:val="001353DC"/>
    <w:rsid w:val="0013625A"/>
    <w:rsid w:val="00136E29"/>
    <w:rsid w:val="00137896"/>
    <w:rsid w:val="0014068C"/>
    <w:rsid w:val="00140D71"/>
    <w:rsid w:val="00143AC2"/>
    <w:rsid w:val="00145016"/>
    <w:rsid w:val="00145379"/>
    <w:rsid w:val="00145AF9"/>
    <w:rsid w:val="001465C8"/>
    <w:rsid w:val="00147157"/>
    <w:rsid w:val="001474FF"/>
    <w:rsid w:val="00152C7D"/>
    <w:rsid w:val="00153D5C"/>
    <w:rsid w:val="00154135"/>
    <w:rsid w:val="001542AF"/>
    <w:rsid w:val="001542F5"/>
    <w:rsid w:val="00154D43"/>
    <w:rsid w:val="001571CC"/>
    <w:rsid w:val="00162CEB"/>
    <w:rsid w:val="00163C63"/>
    <w:rsid w:val="001644AE"/>
    <w:rsid w:val="00164E9D"/>
    <w:rsid w:val="0016569F"/>
    <w:rsid w:val="0016588B"/>
    <w:rsid w:val="00165F3C"/>
    <w:rsid w:val="00165FE0"/>
    <w:rsid w:val="001677EE"/>
    <w:rsid w:val="001704ED"/>
    <w:rsid w:val="001708F9"/>
    <w:rsid w:val="00170BC6"/>
    <w:rsid w:val="001718DE"/>
    <w:rsid w:val="00171DE8"/>
    <w:rsid w:val="00172B17"/>
    <w:rsid w:val="00172BE4"/>
    <w:rsid w:val="00174C1A"/>
    <w:rsid w:val="00175247"/>
    <w:rsid w:val="001763F0"/>
    <w:rsid w:val="00180719"/>
    <w:rsid w:val="00181AF5"/>
    <w:rsid w:val="00182230"/>
    <w:rsid w:val="001822C7"/>
    <w:rsid w:val="0018356F"/>
    <w:rsid w:val="001847C3"/>
    <w:rsid w:val="00185C6A"/>
    <w:rsid w:val="00185EF8"/>
    <w:rsid w:val="001875FD"/>
    <w:rsid w:val="00187D23"/>
    <w:rsid w:val="00192849"/>
    <w:rsid w:val="00193D0C"/>
    <w:rsid w:val="00193EA0"/>
    <w:rsid w:val="00194486"/>
    <w:rsid w:val="001951C1"/>
    <w:rsid w:val="00195BB5"/>
    <w:rsid w:val="0019644B"/>
    <w:rsid w:val="001A06A2"/>
    <w:rsid w:val="001A46AD"/>
    <w:rsid w:val="001A4CC8"/>
    <w:rsid w:val="001A4EB2"/>
    <w:rsid w:val="001A4F95"/>
    <w:rsid w:val="001A57A9"/>
    <w:rsid w:val="001A7573"/>
    <w:rsid w:val="001A7580"/>
    <w:rsid w:val="001B0A3D"/>
    <w:rsid w:val="001B1D29"/>
    <w:rsid w:val="001B1DA5"/>
    <w:rsid w:val="001B2B2A"/>
    <w:rsid w:val="001B4C5F"/>
    <w:rsid w:val="001B5058"/>
    <w:rsid w:val="001B5101"/>
    <w:rsid w:val="001B535B"/>
    <w:rsid w:val="001B6240"/>
    <w:rsid w:val="001B79CB"/>
    <w:rsid w:val="001B7A49"/>
    <w:rsid w:val="001C0B79"/>
    <w:rsid w:val="001C147C"/>
    <w:rsid w:val="001C2162"/>
    <w:rsid w:val="001C3259"/>
    <w:rsid w:val="001C3665"/>
    <w:rsid w:val="001C3CDF"/>
    <w:rsid w:val="001C4EA4"/>
    <w:rsid w:val="001C5E8D"/>
    <w:rsid w:val="001C6200"/>
    <w:rsid w:val="001C6E5E"/>
    <w:rsid w:val="001C71F2"/>
    <w:rsid w:val="001D05CF"/>
    <w:rsid w:val="001D082B"/>
    <w:rsid w:val="001D1581"/>
    <w:rsid w:val="001D15EE"/>
    <w:rsid w:val="001D203A"/>
    <w:rsid w:val="001D2389"/>
    <w:rsid w:val="001D2B6A"/>
    <w:rsid w:val="001D2E23"/>
    <w:rsid w:val="001D2F69"/>
    <w:rsid w:val="001D3C29"/>
    <w:rsid w:val="001D654C"/>
    <w:rsid w:val="001E0850"/>
    <w:rsid w:val="001E0F83"/>
    <w:rsid w:val="001E185C"/>
    <w:rsid w:val="001E1FB5"/>
    <w:rsid w:val="001E2AE5"/>
    <w:rsid w:val="001E4658"/>
    <w:rsid w:val="001E5052"/>
    <w:rsid w:val="001E592C"/>
    <w:rsid w:val="001E67AA"/>
    <w:rsid w:val="001F0920"/>
    <w:rsid w:val="001F0D5E"/>
    <w:rsid w:val="001F0EC8"/>
    <w:rsid w:val="001F1947"/>
    <w:rsid w:val="001F2A77"/>
    <w:rsid w:val="001F2B9F"/>
    <w:rsid w:val="001F4A39"/>
    <w:rsid w:val="001F5304"/>
    <w:rsid w:val="001F647C"/>
    <w:rsid w:val="001F6BDF"/>
    <w:rsid w:val="001F76BC"/>
    <w:rsid w:val="00200F61"/>
    <w:rsid w:val="00201624"/>
    <w:rsid w:val="00202955"/>
    <w:rsid w:val="00202B1A"/>
    <w:rsid w:val="00203681"/>
    <w:rsid w:val="00203DBF"/>
    <w:rsid w:val="00204A4E"/>
    <w:rsid w:val="00204C28"/>
    <w:rsid w:val="00205270"/>
    <w:rsid w:val="002060B3"/>
    <w:rsid w:val="00206444"/>
    <w:rsid w:val="00210962"/>
    <w:rsid w:val="0021097F"/>
    <w:rsid w:val="00211453"/>
    <w:rsid w:val="002126A2"/>
    <w:rsid w:val="00212F0C"/>
    <w:rsid w:val="00213783"/>
    <w:rsid w:val="00213AA4"/>
    <w:rsid w:val="0021469F"/>
    <w:rsid w:val="0021637C"/>
    <w:rsid w:val="0022056B"/>
    <w:rsid w:val="00222192"/>
    <w:rsid w:val="00225CAB"/>
    <w:rsid w:val="00226314"/>
    <w:rsid w:val="002264D5"/>
    <w:rsid w:val="0023102D"/>
    <w:rsid w:val="0023234C"/>
    <w:rsid w:val="00232AF4"/>
    <w:rsid w:val="002338B0"/>
    <w:rsid w:val="00233AE3"/>
    <w:rsid w:val="00234708"/>
    <w:rsid w:val="00234A99"/>
    <w:rsid w:val="0023552E"/>
    <w:rsid w:val="002359BA"/>
    <w:rsid w:val="00236032"/>
    <w:rsid w:val="00237DF0"/>
    <w:rsid w:val="00240777"/>
    <w:rsid w:val="00240FF6"/>
    <w:rsid w:val="0024127E"/>
    <w:rsid w:val="0024285D"/>
    <w:rsid w:val="00242BD6"/>
    <w:rsid w:val="002432AE"/>
    <w:rsid w:val="00243F88"/>
    <w:rsid w:val="00244CD2"/>
    <w:rsid w:val="0024530C"/>
    <w:rsid w:val="00247012"/>
    <w:rsid w:val="002503EF"/>
    <w:rsid w:val="0025086C"/>
    <w:rsid w:val="002525AA"/>
    <w:rsid w:val="002528EA"/>
    <w:rsid w:val="00252A98"/>
    <w:rsid w:val="00252AB9"/>
    <w:rsid w:val="00252EE1"/>
    <w:rsid w:val="00255AB9"/>
    <w:rsid w:val="002563F5"/>
    <w:rsid w:val="002568ED"/>
    <w:rsid w:val="002631F9"/>
    <w:rsid w:val="002635C2"/>
    <w:rsid w:val="002637D2"/>
    <w:rsid w:val="00263E8A"/>
    <w:rsid w:val="00264028"/>
    <w:rsid w:val="00264CDB"/>
    <w:rsid w:val="00264E4B"/>
    <w:rsid w:val="0026534E"/>
    <w:rsid w:val="002661C6"/>
    <w:rsid w:val="0026657A"/>
    <w:rsid w:val="00267006"/>
    <w:rsid w:val="00270212"/>
    <w:rsid w:val="00271D3E"/>
    <w:rsid w:val="00273A46"/>
    <w:rsid w:val="00274114"/>
    <w:rsid w:val="00274C7F"/>
    <w:rsid w:val="00274DC9"/>
    <w:rsid w:val="00274E84"/>
    <w:rsid w:val="00275154"/>
    <w:rsid w:val="00276CB5"/>
    <w:rsid w:val="00277578"/>
    <w:rsid w:val="002775D3"/>
    <w:rsid w:val="00277D5E"/>
    <w:rsid w:val="00280CFD"/>
    <w:rsid w:val="00284DFC"/>
    <w:rsid w:val="00286384"/>
    <w:rsid w:val="002914E6"/>
    <w:rsid w:val="00291A33"/>
    <w:rsid w:val="00291D03"/>
    <w:rsid w:val="002920CE"/>
    <w:rsid w:val="002942F7"/>
    <w:rsid w:val="0029517E"/>
    <w:rsid w:val="002957F7"/>
    <w:rsid w:val="00295B51"/>
    <w:rsid w:val="0029759C"/>
    <w:rsid w:val="002A03E6"/>
    <w:rsid w:val="002A081D"/>
    <w:rsid w:val="002A14E7"/>
    <w:rsid w:val="002A4978"/>
    <w:rsid w:val="002A4F98"/>
    <w:rsid w:val="002B0EB4"/>
    <w:rsid w:val="002B1B93"/>
    <w:rsid w:val="002B1E29"/>
    <w:rsid w:val="002B2625"/>
    <w:rsid w:val="002B2B21"/>
    <w:rsid w:val="002B2CDC"/>
    <w:rsid w:val="002B2D1D"/>
    <w:rsid w:val="002B40DB"/>
    <w:rsid w:val="002B4378"/>
    <w:rsid w:val="002B6D76"/>
    <w:rsid w:val="002B7611"/>
    <w:rsid w:val="002B7D07"/>
    <w:rsid w:val="002C2C6F"/>
    <w:rsid w:val="002C2CEE"/>
    <w:rsid w:val="002C4742"/>
    <w:rsid w:val="002C4CFD"/>
    <w:rsid w:val="002C5CF5"/>
    <w:rsid w:val="002C5E3A"/>
    <w:rsid w:val="002C68E3"/>
    <w:rsid w:val="002D0E94"/>
    <w:rsid w:val="002D161B"/>
    <w:rsid w:val="002D1A70"/>
    <w:rsid w:val="002D2A29"/>
    <w:rsid w:val="002D2E8E"/>
    <w:rsid w:val="002D2EF3"/>
    <w:rsid w:val="002D31D7"/>
    <w:rsid w:val="002D5D5E"/>
    <w:rsid w:val="002D70AD"/>
    <w:rsid w:val="002D7B65"/>
    <w:rsid w:val="002E12C6"/>
    <w:rsid w:val="002E1533"/>
    <w:rsid w:val="002E2C55"/>
    <w:rsid w:val="002E3080"/>
    <w:rsid w:val="002E41B1"/>
    <w:rsid w:val="002E4415"/>
    <w:rsid w:val="002E6425"/>
    <w:rsid w:val="002E6DB5"/>
    <w:rsid w:val="002F0299"/>
    <w:rsid w:val="002F137B"/>
    <w:rsid w:val="002F18CD"/>
    <w:rsid w:val="002F1B4C"/>
    <w:rsid w:val="002F25E6"/>
    <w:rsid w:val="003015F8"/>
    <w:rsid w:val="003020C4"/>
    <w:rsid w:val="00303259"/>
    <w:rsid w:val="0030433E"/>
    <w:rsid w:val="00305013"/>
    <w:rsid w:val="00305146"/>
    <w:rsid w:val="003074F3"/>
    <w:rsid w:val="00310D76"/>
    <w:rsid w:val="00310F58"/>
    <w:rsid w:val="00311575"/>
    <w:rsid w:val="0031249A"/>
    <w:rsid w:val="00316D1D"/>
    <w:rsid w:val="00317C47"/>
    <w:rsid w:val="00320464"/>
    <w:rsid w:val="00320B85"/>
    <w:rsid w:val="00320E5F"/>
    <w:rsid w:val="00321659"/>
    <w:rsid w:val="0032188C"/>
    <w:rsid w:val="00322ADD"/>
    <w:rsid w:val="003234D6"/>
    <w:rsid w:val="003237BF"/>
    <w:rsid w:val="00323C5D"/>
    <w:rsid w:val="0032401F"/>
    <w:rsid w:val="003248B4"/>
    <w:rsid w:val="00324AB5"/>
    <w:rsid w:val="00324EEA"/>
    <w:rsid w:val="00326B7A"/>
    <w:rsid w:val="00330605"/>
    <w:rsid w:val="00330A4C"/>
    <w:rsid w:val="00332788"/>
    <w:rsid w:val="00332C11"/>
    <w:rsid w:val="00334C36"/>
    <w:rsid w:val="00334D18"/>
    <w:rsid w:val="003359A2"/>
    <w:rsid w:val="00335A06"/>
    <w:rsid w:val="00336931"/>
    <w:rsid w:val="00337270"/>
    <w:rsid w:val="00337C6D"/>
    <w:rsid w:val="0034037C"/>
    <w:rsid w:val="00341012"/>
    <w:rsid w:val="00343707"/>
    <w:rsid w:val="00343B70"/>
    <w:rsid w:val="00343EB1"/>
    <w:rsid w:val="00344A7E"/>
    <w:rsid w:val="00344D63"/>
    <w:rsid w:val="00345F02"/>
    <w:rsid w:val="00347C99"/>
    <w:rsid w:val="00347E9F"/>
    <w:rsid w:val="00350385"/>
    <w:rsid w:val="00350C90"/>
    <w:rsid w:val="00352168"/>
    <w:rsid w:val="003538E0"/>
    <w:rsid w:val="00354FDC"/>
    <w:rsid w:val="003561F3"/>
    <w:rsid w:val="00356E52"/>
    <w:rsid w:val="003606BC"/>
    <w:rsid w:val="00360F0E"/>
    <w:rsid w:val="00361363"/>
    <w:rsid w:val="0036290E"/>
    <w:rsid w:val="00362986"/>
    <w:rsid w:val="003636D6"/>
    <w:rsid w:val="00365FC1"/>
    <w:rsid w:val="003663F1"/>
    <w:rsid w:val="00370A0D"/>
    <w:rsid w:val="003713AB"/>
    <w:rsid w:val="00371FE0"/>
    <w:rsid w:val="003735C9"/>
    <w:rsid w:val="003775CB"/>
    <w:rsid w:val="00381021"/>
    <w:rsid w:val="003829FD"/>
    <w:rsid w:val="0038366A"/>
    <w:rsid w:val="003846BE"/>
    <w:rsid w:val="00384D98"/>
    <w:rsid w:val="00385790"/>
    <w:rsid w:val="00385908"/>
    <w:rsid w:val="00387A75"/>
    <w:rsid w:val="00390FD2"/>
    <w:rsid w:val="003910EB"/>
    <w:rsid w:val="0039431D"/>
    <w:rsid w:val="00394548"/>
    <w:rsid w:val="003955E1"/>
    <w:rsid w:val="0039571F"/>
    <w:rsid w:val="00395962"/>
    <w:rsid w:val="00396D7F"/>
    <w:rsid w:val="003A3450"/>
    <w:rsid w:val="003A3A16"/>
    <w:rsid w:val="003A4841"/>
    <w:rsid w:val="003A54A6"/>
    <w:rsid w:val="003A6521"/>
    <w:rsid w:val="003A6577"/>
    <w:rsid w:val="003B282E"/>
    <w:rsid w:val="003B3C54"/>
    <w:rsid w:val="003B48CA"/>
    <w:rsid w:val="003B6810"/>
    <w:rsid w:val="003B7CA0"/>
    <w:rsid w:val="003C0390"/>
    <w:rsid w:val="003C086E"/>
    <w:rsid w:val="003C46B9"/>
    <w:rsid w:val="003C4D82"/>
    <w:rsid w:val="003C4F6C"/>
    <w:rsid w:val="003C5D81"/>
    <w:rsid w:val="003C6940"/>
    <w:rsid w:val="003C7993"/>
    <w:rsid w:val="003C7D90"/>
    <w:rsid w:val="003D3FEC"/>
    <w:rsid w:val="003D40FE"/>
    <w:rsid w:val="003D4A44"/>
    <w:rsid w:val="003D728C"/>
    <w:rsid w:val="003D7802"/>
    <w:rsid w:val="003E0330"/>
    <w:rsid w:val="003E07B2"/>
    <w:rsid w:val="003E1667"/>
    <w:rsid w:val="003E439A"/>
    <w:rsid w:val="003E44DC"/>
    <w:rsid w:val="003E450A"/>
    <w:rsid w:val="003E49D8"/>
    <w:rsid w:val="003E6363"/>
    <w:rsid w:val="003E6BC4"/>
    <w:rsid w:val="003F02C5"/>
    <w:rsid w:val="003F13A8"/>
    <w:rsid w:val="003F308F"/>
    <w:rsid w:val="003F33C5"/>
    <w:rsid w:val="003F3F5A"/>
    <w:rsid w:val="003F5980"/>
    <w:rsid w:val="003F5987"/>
    <w:rsid w:val="003F6198"/>
    <w:rsid w:val="004015E9"/>
    <w:rsid w:val="0040240E"/>
    <w:rsid w:val="00402A01"/>
    <w:rsid w:val="0040436C"/>
    <w:rsid w:val="0040452B"/>
    <w:rsid w:val="004055C6"/>
    <w:rsid w:val="00405962"/>
    <w:rsid w:val="004132B4"/>
    <w:rsid w:val="004133DD"/>
    <w:rsid w:val="004134E0"/>
    <w:rsid w:val="00413D27"/>
    <w:rsid w:val="00414009"/>
    <w:rsid w:val="00414910"/>
    <w:rsid w:val="0041493B"/>
    <w:rsid w:val="00415FF4"/>
    <w:rsid w:val="00417165"/>
    <w:rsid w:val="004172A5"/>
    <w:rsid w:val="004200AE"/>
    <w:rsid w:val="00420379"/>
    <w:rsid w:val="004206C1"/>
    <w:rsid w:val="00420DBA"/>
    <w:rsid w:val="00421078"/>
    <w:rsid w:val="00421768"/>
    <w:rsid w:val="00421B70"/>
    <w:rsid w:val="00424002"/>
    <w:rsid w:val="004246F3"/>
    <w:rsid w:val="004252D9"/>
    <w:rsid w:val="004259BC"/>
    <w:rsid w:val="004261DA"/>
    <w:rsid w:val="00426E05"/>
    <w:rsid w:val="00427575"/>
    <w:rsid w:val="00427D98"/>
    <w:rsid w:val="00430844"/>
    <w:rsid w:val="00431A6C"/>
    <w:rsid w:val="00432446"/>
    <w:rsid w:val="00432B43"/>
    <w:rsid w:val="0043302C"/>
    <w:rsid w:val="0043322A"/>
    <w:rsid w:val="00433DA2"/>
    <w:rsid w:val="00433F10"/>
    <w:rsid w:val="00433F3D"/>
    <w:rsid w:val="0043426D"/>
    <w:rsid w:val="004372CB"/>
    <w:rsid w:val="00437F30"/>
    <w:rsid w:val="00442CA2"/>
    <w:rsid w:val="00442F50"/>
    <w:rsid w:val="00442FDD"/>
    <w:rsid w:val="0044438C"/>
    <w:rsid w:val="00444BE1"/>
    <w:rsid w:val="00446D4D"/>
    <w:rsid w:val="004475C1"/>
    <w:rsid w:val="00447B85"/>
    <w:rsid w:val="0045033F"/>
    <w:rsid w:val="00451D59"/>
    <w:rsid w:val="00452757"/>
    <w:rsid w:val="00452A25"/>
    <w:rsid w:val="00452BAA"/>
    <w:rsid w:val="004534E5"/>
    <w:rsid w:val="0045354C"/>
    <w:rsid w:val="00454D04"/>
    <w:rsid w:val="00455256"/>
    <w:rsid w:val="004556CD"/>
    <w:rsid w:val="004567A2"/>
    <w:rsid w:val="004575E4"/>
    <w:rsid w:val="00457E48"/>
    <w:rsid w:val="00461418"/>
    <w:rsid w:val="0046188D"/>
    <w:rsid w:val="00462106"/>
    <w:rsid w:val="0046229A"/>
    <w:rsid w:val="00463691"/>
    <w:rsid w:val="004643A4"/>
    <w:rsid w:val="004652E1"/>
    <w:rsid w:val="00465ACB"/>
    <w:rsid w:val="00465B7A"/>
    <w:rsid w:val="00467D7C"/>
    <w:rsid w:val="0047055F"/>
    <w:rsid w:val="00471987"/>
    <w:rsid w:val="004727C3"/>
    <w:rsid w:val="004733C6"/>
    <w:rsid w:val="004736F3"/>
    <w:rsid w:val="00477FDD"/>
    <w:rsid w:val="00480362"/>
    <w:rsid w:val="00482F30"/>
    <w:rsid w:val="00484AD4"/>
    <w:rsid w:val="00484F2D"/>
    <w:rsid w:val="00485E83"/>
    <w:rsid w:val="004862F9"/>
    <w:rsid w:val="00486469"/>
    <w:rsid w:val="004900B9"/>
    <w:rsid w:val="00490F51"/>
    <w:rsid w:val="00491403"/>
    <w:rsid w:val="004916CB"/>
    <w:rsid w:val="00491EA6"/>
    <w:rsid w:val="00491F52"/>
    <w:rsid w:val="004938ED"/>
    <w:rsid w:val="00495D40"/>
    <w:rsid w:val="0049661C"/>
    <w:rsid w:val="004A10A6"/>
    <w:rsid w:val="004A2DCA"/>
    <w:rsid w:val="004A3027"/>
    <w:rsid w:val="004A4026"/>
    <w:rsid w:val="004A4BB5"/>
    <w:rsid w:val="004A61F1"/>
    <w:rsid w:val="004B1FFF"/>
    <w:rsid w:val="004B2EE2"/>
    <w:rsid w:val="004B46BB"/>
    <w:rsid w:val="004B4790"/>
    <w:rsid w:val="004B5696"/>
    <w:rsid w:val="004B6584"/>
    <w:rsid w:val="004B673D"/>
    <w:rsid w:val="004B6EC5"/>
    <w:rsid w:val="004B7474"/>
    <w:rsid w:val="004C0475"/>
    <w:rsid w:val="004C08E8"/>
    <w:rsid w:val="004C21B7"/>
    <w:rsid w:val="004C3694"/>
    <w:rsid w:val="004C463B"/>
    <w:rsid w:val="004C4A83"/>
    <w:rsid w:val="004C5C2C"/>
    <w:rsid w:val="004C6CB0"/>
    <w:rsid w:val="004D028E"/>
    <w:rsid w:val="004D1F9D"/>
    <w:rsid w:val="004D3AB7"/>
    <w:rsid w:val="004D3DCB"/>
    <w:rsid w:val="004D3DDA"/>
    <w:rsid w:val="004D3E80"/>
    <w:rsid w:val="004D4124"/>
    <w:rsid w:val="004D51B1"/>
    <w:rsid w:val="004D52B3"/>
    <w:rsid w:val="004D531A"/>
    <w:rsid w:val="004D5FCB"/>
    <w:rsid w:val="004D66A3"/>
    <w:rsid w:val="004D68A4"/>
    <w:rsid w:val="004D6E0C"/>
    <w:rsid w:val="004D7124"/>
    <w:rsid w:val="004D77DA"/>
    <w:rsid w:val="004E1803"/>
    <w:rsid w:val="004E2224"/>
    <w:rsid w:val="004E2D24"/>
    <w:rsid w:val="004E416F"/>
    <w:rsid w:val="004E475A"/>
    <w:rsid w:val="004E55C4"/>
    <w:rsid w:val="004E5C79"/>
    <w:rsid w:val="004E6238"/>
    <w:rsid w:val="004E6EB5"/>
    <w:rsid w:val="004E70A6"/>
    <w:rsid w:val="004E7727"/>
    <w:rsid w:val="004F06D6"/>
    <w:rsid w:val="004F115E"/>
    <w:rsid w:val="004F1806"/>
    <w:rsid w:val="004F2C2E"/>
    <w:rsid w:val="004F3A6F"/>
    <w:rsid w:val="004F4903"/>
    <w:rsid w:val="004F6B7E"/>
    <w:rsid w:val="004F6F3A"/>
    <w:rsid w:val="005000A6"/>
    <w:rsid w:val="005010A1"/>
    <w:rsid w:val="005023FA"/>
    <w:rsid w:val="0050292A"/>
    <w:rsid w:val="00502F7C"/>
    <w:rsid w:val="00503178"/>
    <w:rsid w:val="005036D6"/>
    <w:rsid w:val="005043B2"/>
    <w:rsid w:val="00506A2B"/>
    <w:rsid w:val="005073BA"/>
    <w:rsid w:val="00507BE0"/>
    <w:rsid w:val="00507D23"/>
    <w:rsid w:val="005104EB"/>
    <w:rsid w:val="00510D6F"/>
    <w:rsid w:val="00510D90"/>
    <w:rsid w:val="00511F6E"/>
    <w:rsid w:val="0051266E"/>
    <w:rsid w:val="00513BE1"/>
    <w:rsid w:val="00514353"/>
    <w:rsid w:val="00514DFC"/>
    <w:rsid w:val="005153D3"/>
    <w:rsid w:val="00516C3E"/>
    <w:rsid w:val="00521768"/>
    <w:rsid w:val="00521796"/>
    <w:rsid w:val="0052186B"/>
    <w:rsid w:val="005218A9"/>
    <w:rsid w:val="00521DD1"/>
    <w:rsid w:val="005223AA"/>
    <w:rsid w:val="00522D2C"/>
    <w:rsid w:val="00523A2C"/>
    <w:rsid w:val="0052678C"/>
    <w:rsid w:val="005277EB"/>
    <w:rsid w:val="00532C58"/>
    <w:rsid w:val="005341A7"/>
    <w:rsid w:val="00535DC7"/>
    <w:rsid w:val="005360BA"/>
    <w:rsid w:val="00537B3B"/>
    <w:rsid w:val="00540340"/>
    <w:rsid w:val="00540BD8"/>
    <w:rsid w:val="00541B81"/>
    <w:rsid w:val="0054202D"/>
    <w:rsid w:val="00545128"/>
    <w:rsid w:val="0054565E"/>
    <w:rsid w:val="00546D76"/>
    <w:rsid w:val="00547338"/>
    <w:rsid w:val="005536D2"/>
    <w:rsid w:val="00557D72"/>
    <w:rsid w:val="00560D5C"/>
    <w:rsid w:val="0056189D"/>
    <w:rsid w:val="00565862"/>
    <w:rsid w:val="005669B4"/>
    <w:rsid w:val="00570475"/>
    <w:rsid w:val="005718E8"/>
    <w:rsid w:val="00572431"/>
    <w:rsid w:val="00575691"/>
    <w:rsid w:val="00575BF0"/>
    <w:rsid w:val="00575CAC"/>
    <w:rsid w:val="00576785"/>
    <w:rsid w:val="00577CD1"/>
    <w:rsid w:val="00581FE4"/>
    <w:rsid w:val="00583986"/>
    <w:rsid w:val="00583B64"/>
    <w:rsid w:val="005851A0"/>
    <w:rsid w:val="00585732"/>
    <w:rsid w:val="005857C4"/>
    <w:rsid w:val="00585DF5"/>
    <w:rsid w:val="00586EF9"/>
    <w:rsid w:val="00587170"/>
    <w:rsid w:val="0058730B"/>
    <w:rsid w:val="00590AEC"/>
    <w:rsid w:val="00590C75"/>
    <w:rsid w:val="00590F41"/>
    <w:rsid w:val="0059569F"/>
    <w:rsid w:val="00597165"/>
    <w:rsid w:val="005A066A"/>
    <w:rsid w:val="005A0695"/>
    <w:rsid w:val="005A2076"/>
    <w:rsid w:val="005A2AB6"/>
    <w:rsid w:val="005A5522"/>
    <w:rsid w:val="005A6E9F"/>
    <w:rsid w:val="005A77D2"/>
    <w:rsid w:val="005B0807"/>
    <w:rsid w:val="005B33CB"/>
    <w:rsid w:val="005B49B0"/>
    <w:rsid w:val="005B6D15"/>
    <w:rsid w:val="005B6F9E"/>
    <w:rsid w:val="005C063B"/>
    <w:rsid w:val="005C2BA5"/>
    <w:rsid w:val="005C4542"/>
    <w:rsid w:val="005C514A"/>
    <w:rsid w:val="005C6483"/>
    <w:rsid w:val="005C719F"/>
    <w:rsid w:val="005C7E71"/>
    <w:rsid w:val="005D000E"/>
    <w:rsid w:val="005D1153"/>
    <w:rsid w:val="005D1F84"/>
    <w:rsid w:val="005D265A"/>
    <w:rsid w:val="005D275A"/>
    <w:rsid w:val="005D2CD5"/>
    <w:rsid w:val="005D50A5"/>
    <w:rsid w:val="005D5340"/>
    <w:rsid w:val="005D6A8E"/>
    <w:rsid w:val="005E0935"/>
    <w:rsid w:val="005E0B7F"/>
    <w:rsid w:val="005E1460"/>
    <w:rsid w:val="005E1D8A"/>
    <w:rsid w:val="005E26F5"/>
    <w:rsid w:val="005E2A44"/>
    <w:rsid w:val="005E39BE"/>
    <w:rsid w:val="005E4664"/>
    <w:rsid w:val="005E59A6"/>
    <w:rsid w:val="005E5DA5"/>
    <w:rsid w:val="005E61F2"/>
    <w:rsid w:val="005F14FC"/>
    <w:rsid w:val="005F180F"/>
    <w:rsid w:val="005F1C5D"/>
    <w:rsid w:val="005F465B"/>
    <w:rsid w:val="005F5ED6"/>
    <w:rsid w:val="005F6838"/>
    <w:rsid w:val="005F7323"/>
    <w:rsid w:val="005F73AF"/>
    <w:rsid w:val="005F77B3"/>
    <w:rsid w:val="005F7BE3"/>
    <w:rsid w:val="0060125B"/>
    <w:rsid w:val="00601310"/>
    <w:rsid w:val="00601BBC"/>
    <w:rsid w:val="00602351"/>
    <w:rsid w:val="00602738"/>
    <w:rsid w:val="00605EFF"/>
    <w:rsid w:val="006112E4"/>
    <w:rsid w:val="006128AC"/>
    <w:rsid w:val="006142CA"/>
    <w:rsid w:val="00614F84"/>
    <w:rsid w:val="0061559E"/>
    <w:rsid w:val="00617030"/>
    <w:rsid w:val="00617574"/>
    <w:rsid w:val="006203CA"/>
    <w:rsid w:val="00620B7B"/>
    <w:rsid w:val="00622FD0"/>
    <w:rsid w:val="006231A5"/>
    <w:rsid w:val="00623CE7"/>
    <w:rsid w:val="006246CD"/>
    <w:rsid w:val="006266C8"/>
    <w:rsid w:val="00626B1C"/>
    <w:rsid w:val="00627D7B"/>
    <w:rsid w:val="00627E7A"/>
    <w:rsid w:val="0063095A"/>
    <w:rsid w:val="00631405"/>
    <w:rsid w:val="00631512"/>
    <w:rsid w:val="00631663"/>
    <w:rsid w:val="006336A2"/>
    <w:rsid w:val="0063563F"/>
    <w:rsid w:val="0063584F"/>
    <w:rsid w:val="0063757D"/>
    <w:rsid w:val="00637ED7"/>
    <w:rsid w:val="006409E3"/>
    <w:rsid w:val="00640B5F"/>
    <w:rsid w:val="00640CBC"/>
    <w:rsid w:val="006425C5"/>
    <w:rsid w:val="006426B7"/>
    <w:rsid w:val="00642B95"/>
    <w:rsid w:val="0064346F"/>
    <w:rsid w:val="00643D28"/>
    <w:rsid w:val="006454D3"/>
    <w:rsid w:val="006476E6"/>
    <w:rsid w:val="006477B8"/>
    <w:rsid w:val="00650D51"/>
    <w:rsid w:val="00650ECA"/>
    <w:rsid w:val="0065184F"/>
    <w:rsid w:val="00655089"/>
    <w:rsid w:val="00655639"/>
    <w:rsid w:val="00656B61"/>
    <w:rsid w:val="00656D01"/>
    <w:rsid w:val="006573E3"/>
    <w:rsid w:val="00657D76"/>
    <w:rsid w:val="00661CAE"/>
    <w:rsid w:val="00663943"/>
    <w:rsid w:val="006645DC"/>
    <w:rsid w:val="0066638C"/>
    <w:rsid w:val="00671427"/>
    <w:rsid w:val="00674097"/>
    <w:rsid w:val="006745AA"/>
    <w:rsid w:val="00676335"/>
    <w:rsid w:val="006768D3"/>
    <w:rsid w:val="00681A54"/>
    <w:rsid w:val="00681B5C"/>
    <w:rsid w:val="00681F42"/>
    <w:rsid w:val="0068573E"/>
    <w:rsid w:val="00686A3D"/>
    <w:rsid w:val="00687F37"/>
    <w:rsid w:val="006901A7"/>
    <w:rsid w:val="00690931"/>
    <w:rsid w:val="00690F24"/>
    <w:rsid w:val="0069235E"/>
    <w:rsid w:val="0069244B"/>
    <w:rsid w:val="00692C09"/>
    <w:rsid w:val="00694F89"/>
    <w:rsid w:val="00695384"/>
    <w:rsid w:val="006957BF"/>
    <w:rsid w:val="00695C77"/>
    <w:rsid w:val="00697BF6"/>
    <w:rsid w:val="006A0AA8"/>
    <w:rsid w:val="006A0E5E"/>
    <w:rsid w:val="006A2F79"/>
    <w:rsid w:val="006A5516"/>
    <w:rsid w:val="006A7BC7"/>
    <w:rsid w:val="006B001A"/>
    <w:rsid w:val="006B01FE"/>
    <w:rsid w:val="006B18DA"/>
    <w:rsid w:val="006B26C2"/>
    <w:rsid w:val="006B46CD"/>
    <w:rsid w:val="006B506D"/>
    <w:rsid w:val="006B6E8D"/>
    <w:rsid w:val="006C07F3"/>
    <w:rsid w:val="006C0A07"/>
    <w:rsid w:val="006C1871"/>
    <w:rsid w:val="006C2FE1"/>
    <w:rsid w:val="006C38CC"/>
    <w:rsid w:val="006C3AD6"/>
    <w:rsid w:val="006C3BFD"/>
    <w:rsid w:val="006C434B"/>
    <w:rsid w:val="006C5225"/>
    <w:rsid w:val="006C5A94"/>
    <w:rsid w:val="006C5F79"/>
    <w:rsid w:val="006C617D"/>
    <w:rsid w:val="006C6254"/>
    <w:rsid w:val="006C685D"/>
    <w:rsid w:val="006C693F"/>
    <w:rsid w:val="006C6D8C"/>
    <w:rsid w:val="006C7747"/>
    <w:rsid w:val="006D011B"/>
    <w:rsid w:val="006D04FE"/>
    <w:rsid w:val="006D084A"/>
    <w:rsid w:val="006D0C54"/>
    <w:rsid w:val="006D2BF2"/>
    <w:rsid w:val="006D3557"/>
    <w:rsid w:val="006D368D"/>
    <w:rsid w:val="006D3B4A"/>
    <w:rsid w:val="006D4AD1"/>
    <w:rsid w:val="006D4CCE"/>
    <w:rsid w:val="006D6442"/>
    <w:rsid w:val="006D658D"/>
    <w:rsid w:val="006D7C6A"/>
    <w:rsid w:val="006E00F1"/>
    <w:rsid w:val="006E07CF"/>
    <w:rsid w:val="006E1698"/>
    <w:rsid w:val="006E194E"/>
    <w:rsid w:val="006E500C"/>
    <w:rsid w:val="006E51E1"/>
    <w:rsid w:val="006E53D8"/>
    <w:rsid w:val="006E57B0"/>
    <w:rsid w:val="006E6005"/>
    <w:rsid w:val="006E7A75"/>
    <w:rsid w:val="006E7C9D"/>
    <w:rsid w:val="006F0CA2"/>
    <w:rsid w:val="006F139D"/>
    <w:rsid w:val="006F3466"/>
    <w:rsid w:val="006F5F56"/>
    <w:rsid w:val="006F6040"/>
    <w:rsid w:val="006F7798"/>
    <w:rsid w:val="006F7BBF"/>
    <w:rsid w:val="006F7C9D"/>
    <w:rsid w:val="006F7CEA"/>
    <w:rsid w:val="006F7D7C"/>
    <w:rsid w:val="00700E0C"/>
    <w:rsid w:val="0070193B"/>
    <w:rsid w:val="00701D94"/>
    <w:rsid w:val="00701E28"/>
    <w:rsid w:val="00702B8E"/>
    <w:rsid w:val="007036B1"/>
    <w:rsid w:val="00704CBA"/>
    <w:rsid w:val="00704E3B"/>
    <w:rsid w:val="007053E2"/>
    <w:rsid w:val="007054D7"/>
    <w:rsid w:val="0070794B"/>
    <w:rsid w:val="00710E01"/>
    <w:rsid w:val="0071155A"/>
    <w:rsid w:val="00711AA9"/>
    <w:rsid w:val="0071217D"/>
    <w:rsid w:val="007123D7"/>
    <w:rsid w:val="00712778"/>
    <w:rsid w:val="0071367E"/>
    <w:rsid w:val="007140FB"/>
    <w:rsid w:val="007161F3"/>
    <w:rsid w:val="0071628C"/>
    <w:rsid w:val="0071661D"/>
    <w:rsid w:val="0071671C"/>
    <w:rsid w:val="00716A87"/>
    <w:rsid w:val="00716ED1"/>
    <w:rsid w:val="00721890"/>
    <w:rsid w:val="00721964"/>
    <w:rsid w:val="00722CF3"/>
    <w:rsid w:val="00722F68"/>
    <w:rsid w:val="00723AAF"/>
    <w:rsid w:val="007246AD"/>
    <w:rsid w:val="00724B8A"/>
    <w:rsid w:val="00724CA7"/>
    <w:rsid w:val="00726EA3"/>
    <w:rsid w:val="00732B84"/>
    <w:rsid w:val="007336B9"/>
    <w:rsid w:val="0073485E"/>
    <w:rsid w:val="00734EAB"/>
    <w:rsid w:val="007353CD"/>
    <w:rsid w:val="007354A7"/>
    <w:rsid w:val="0073570F"/>
    <w:rsid w:val="00735845"/>
    <w:rsid w:val="00735D7A"/>
    <w:rsid w:val="0073682E"/>
    <w:rsid w:val="007410C8"/>
    <w:rsid w:val="0074166A"/>
    <w:rsid w:val="00741EFE"/>
    <w:rsid w:val="007420B0"/>
    <w:rsid w:val="00742479"/>
    <w:rsid w:val="00742D30"/>
    <w:rsid w:val="00743DE7"/>
    <w:rsid w:val="00743FB7"/>
    <w:rsid w:val="0074520C"/>
    <w:rsid w:val="00745F47"/>
    <w:rsid w:val="00746006"/>
    <w:rsid w:val="00747763"/>
    <w:rsid w:val="00751F8D"/>
    <w:rsid w:val="00751FEE"/>
    <w:rsid w:val="00753793"/>
    <w:rsid w:val="0075451E"/>
    <w:rsid w:val="007549B9"/>
    <w:rsid w:val="007559A7"/>
    <w:rsid w:val="00756893"/>
    <w:rsid w:val="007568C2"/>
    <w:rsid w:val="00756DF1"/>
    <w:rsid w:val="007572FB"/>
    <w:rsid w:val="00761950"/>
    <w:rsid w:val="00763198"/>
    <w:rsid w:val="00763223"/>
    <w:rsid w:val="00764BD1"/>
    <w:rsid w:val="007666BB"/>
    <w:rsid w:val="00766851"/>
    <w:rsid w:val="00766EC5"/>
    <w:rsid w:val="00767A8C"/>
    <w:rsid w:val="00771CD3"/>
    <w:rsid w:val="007733EB"/>
    <w:rsid w:val="00773518"/>
    <w:rsid w:val="00773AF3"/>
    <w:rsid w:val="00776B27"/>
    <w:rsid w:val="00777087"/>
    <w:rsid w:val="007772B5"/>
    <w:rsid w:val="007776F0"/>
    <w:rsid w:val="00777C0D"/>
    <w:rsid w:val="00780ADB"/>
    <w:rsid w:val="00780C93"/>
    <w:rsid w:val="00781D69"/>
    <w:rsid w:val="00784119"/>
    <w:rsid w:val="0078491D"/>
    <w:rsid w:val="00784CD0"/>
    <w:rsid w:val="00784D08"/>
    <w:rsid w:val="00785488"/>
    <w:rsid w:val="0078794C"/>
    <w:rsid w:val="00787B96"/>
    <w:rsid w:val="00790C1B"/>
    <w:rsid w:val="00790F20"/>
    <w:rsid w:val="007943DD"/>
    <w:rsid w:val="007946FB"/>
    <w:rsid w:val="00795CFA"/>
    <w:rsid w:val="0079676B"/>
    <w:rsid w:val="007A10CC"/>
    <w:rsid w:val="007A1954"/>
    <w:rsid w:val="007A2D01"/>
    <w:rsid w:val="007A3983"/>
    <w:rsid w:val="007A4A27"/>
    <w:rsid w:val="007A5B05"/>
    <w:rsid w:val="007B1277"/>
    <w:rsid w:val="007B1FAF"/>
    <w:rsid w:val="007B5DDA"/>
    <w:rsid w:val="007B78F2"/>
    <w:rsid w:val="007B7C42"/>
    <w:rsid w:val="007C1537"/>
    <w:rsid w:val="007C1AA8"/>
    <w:rsid w:val="007C1C69"/>
    <w:rsid w:val="007C2CFD"/>
    <w:rsid w:val="007C701D"/>
    <w:rsid w:val="007C7D27"/>
    <w:rsid w:val="007D098D"/>
    <w:rsid w:val="007D09DD"/>
    <w:rsid w:val="007D0C5A"/>
    <w:rsid w:val="007D1301"/>
    <w:rsid w:val="007D1AB0"/>
    <w:rsid w:val="007D2239"/>
    <w:rsid w:val="007D47AD"/>
    <w:rsid w:val="007D7FE3"/>
    <w:rsid w:val="007E0743"/>
    <w:rsid w:val="007E13F2"/>
    <w:rsid w:val="007E26A4"/>
    <w:rsid w:val="007E2B45"/>
    <w:rsid w:val="007E38FE"/>
    <w:rsid w:val="007E4571"/>
    <w:rsid w:val="007E4C02"/>
    <w:rsid w:val="007E4D66"/>
    <w:rsid w:val="007E50AC"/>
    <w:rsid w:val="007F0D77"/>
    <w:rsid w:val="007F1307"/>
    <w:rsid w:val="007F18AF"/>
    <w:rsid w:val="007F1BCD"/>
    <w:rsid w:val="007F2B88"/>
    <w:rsid w:val="007F2D90"/>
    <w:rsid w:val="007F3FF8"/>
    <w:rsid w:val="007F4AB4"/>
    <w:rsid w:val="007F6614"/>
    <w:rsid w:val="00802639"/>
    <w:rsid w:val="00802A9B"/>
    <w:rsid w:val="00802C3B"/>
    <w:rsid w:val="00802D18"/>
    <w:rsid w:val="008045E0"/>
    <w:rsid w:val="0080640D"/>
    <w:rsid w:val="00807652"/>
    <w:rsid w:val="0081047F"/>
    <w:rsid w:val="00812557"/>
    <w:rsid w:val="00812B0E"/>
    <w:rsid w:val="0081311D"/>
    <w:rsid w:val="008133FB"/>
    <w:rsid w:val="00813484"/>
    <w:rsid w:val="00814378"/>
    <w:rsid w:val="0081517E"/>
    <w:rsid w:val="00815D8A"/>
    <w:rsid w:val="00816591"/>
    <w:rsid w:val="008172C3"/>
    <w:rsid w:val="00821905"/>
    <w:rsid w:val="00821A19"/>
    <w:rsid w:val="0082211E"/>
    <w:rsid w:val="008245EC"/>
    <w:rsid w:val="00825735"/>
    <w:rsid w:val="00826D3B"/>
    <w:rsid w:val="00827D5E"/>
    <w:rsid w:val="008314DA"/>
    <w:rsid w:val="00831A2F"/>
    <w:rsid w:val="008345A8"/>
    <w:rsid w:val="00842A0B"/>
    <w:rsid w:val="0084331E"/>
    <w:rsid w:val="00843622"/>
    <w:rsid w:val="00844787"/>
    <w:rsid w:val="00844A19"/>
    <w:rsid w:val="00844E6B"/>
    <w:rsid w:val="00845E34"/>
    <w:rsid w:val="0084662E"/>
    <w:rsid w:val="00850565"/>
    <w:rsid w:val="008511FE"/>
    <w:rsid w:val="00854823"/>
    <w:rsid w:val="00855A2F"/>
    <w:rsid w:val="008560F9"/>
    <w:rsid w:val="00856437"/>
    <w:rsid w:val="0085738F"/>
    <w:rsid w:val="00860511"/>
    <w:rsid w:val="00861693"/>
    <w:rsid w:val="00867231"/>
    <w:rsid w:val="0086767C"/>
    <w:rsid w:val="008677BE"/>
    <w:rsid w:val="0086788D"/>
    <w:rsid w:val="00867D13"/>
    <w:rsid w:val="008703FB"/>
    <w:rsid w:val="00873052"/>
    <w:rsid w:val="00873278"/>
    <w:rsid w:val="00874C91"/>
    <w:rsid w:val="00874D67"/>
    <w:rsid w:val="0088068F"/>
    <w:rsid w:val="00882157"/>
    <w:rsid w:val="00882E69"/>
    <w:rsid w:val="008837FA"/>
    <w:rsid w:val="0088594E"/>
    <w:rsid w:val="00886EEB"/>
    <w:rsid w:val="00887CC7"/>
    <w:rsid w:val="00890294"/>
    <w:rsid w:val="008905EC"/>
    <w:rsid w:val="008919A2"/>
    <w:rsid w:val="0089321C"/>
    <w:rsid w:val="008934BD"/>
    <w:rsid w:val="008939D7"/>
    <w:rsid w:val="008949D9"/>
    <w:rsid w:val="00894E6B"/>
    <w:rsid w:val="00895469"/>
    <w:rsid w:val="008956D3"/>
    <w:rsid w:val="00895E32"/>
    <w:rsid w:val="00896599"/>
    <w:rsid w:val="008A0C96"/>
    <w:rsid w:val="008A0E95"/>
    <w:rsid w:val="008A2A32"/>
    <w:rsid w:val="008A37F7"/>
    <w:rsid w:val="008A46C4"/>
    <w:rsid w:val="008A4CE2"/>
    <w:rsid w:val="008A6563"/>
    <w:rsid w:val="008A7574"/>
    <w:rsid w:val="008A7C17"/>
    <w:rsid w:val="008A7D8B"/>
    <w:rsid w:val="008B03AD"/>
    <w:rsid w:val="008B0C97"/>
    <w:rsid w:val="008B172F"/>
    <w:rsid w:val="008B2413"/>
    <w:rsid w:val="008B2C44"/>
    <w:rsid w:val="008B4CBC"/>
    <w:rsid w:val="008B502A"/>
    <w:rsid w:val="008B7B70"/>
    <w:rsid w:val="008B7DA9"/>
    <w:rsid w:val="008C0A28"/>
    <w:rsid w:val="008C10F3"/>
    <w:rsid w:val="008C182D"/>
    <w:rsid w:val="008C24EF"/>
    <w:rsid w:val="008C2630"/>
    <w:rsid w:val="008C2B80"/>
    <w:rsid w:val="008C2BF4"/>
    <w:rsid w:val="008C2EE3"/>
    <w:rsid w:val="008C368E"/>
    <w:rsid w:val="008C3803"/>
    <w:rsid w:val="008C3F74"/>
    <w:rsid w:val="008C4410"/>
    <w:rsid w:val="008C4C91"/>
    <w:rsid w:val="008C77FC"/>
    <w:rsid w:val="008D06FF"/>
    <w:rsid w:val="008D1AD2"/>
    <w:rsid w:val="008D1D44"/>
    <w:rsid w:val="008D3F35"/>
    <w:rsid w:val="008D43DB"/>
    <w:rsid w:val="008D5229"/>
    <w:rsid w:val="008D5BDA"/>
    <w:rsid w:val="008D6F7C"/>
    <w:rsid w:val="008D7D41"/>
    <w:rsid w:val="008E0690"/>
    <w:rsid w:val="008E128C"/>
    <w:rsid w:val="008E1605"/>
    <w:rsid w:val="008E30D0"/>
    <w:rsid w:val="008E3D5B"/>
    <w:rsid w:val="008E6BB6"/>
    <w:rsid w:val="008E7575"/>
    <w:rsid w:val="008E7576"/>
    <w:rsid w:val="008E758B"/>
    <w:rsid w:val="008F0B9D"/>
    <w:rsid w:val="008F16C6"/>
    <w:rsid w:val="008F2BAF"/>
    <w:rsid w:val="008F32E5"/>
    <w:rsid w:val="008F5FBB"/>
    <w:rsid w:val="009005F3"/>
    <w:rsid w:val="00901E10"/>
    <w:rsid w:val="00902396"/>
    <w:rsid w:val="00902902"/>
    <w:rsid w:val="009035AB"/>
    <w:rsid w:val="00904AD7"/>
    <w:rsid w:val="009058A4"/>
    <w:rsid w:val="0090621A"/>
    <w:rsid w:val="00906B89"/>
    <w:rsid w:val="00907400"/>
    <w:rsid w:val="00910924"/>
    <w:rsid w:val="00910B81"/>
    <w:rsid w:val="00911122"/>
    <w:rsid w:val="0091114C"/>
    <w:rsid w:val="00911971"/>
    <w:rsid w:val="00913C8D"/>
    <w:rsid w:val="00913D07"/>
    <w:rsid w:val="0091423A"/>
    <w:rsid w:val="00916546"/>
    <w:rsid w:val="00916D9B"/>
    <w:rsid w:val="009171B9"/>
    <w:rsid w:val="009178E2"/>
    <w:rsid w:val="00917B2D"/>
    <w:rsid w:val="00917BAB"/>
    <w:rsid w:val="009245FA"/>
    <w:rsid w:val="00924F21"/>
    <w:rsid w:val="00925001"/>
    <w:rsid w:val="00926687"/>
    <w:rsid w:val="009268C6"/>
    <w:rsid w:val="009279F7"/>
    <w:rsid w:val="009302AE"/>
    <w:rsid w:val="00930AA0"/>
    <w:rsid w:val="0093109D"/>
    <w:rsid w:val="009312A9"/>
    <w:rsid w:val="0093137C"/>
    <w:rsid w:val="00933380"/>
    <w:rsid w:val="00933D7B"/>
    <w:rsid w:val="0093796C"/>
    <w:rsid w:val="00937D9D"/>
    <w:rsid w:val="009412F3"/>
    <w:rsid w:val="00941776"/>
    <w:rsid w:val="00942B90"/>
    <w:rsid w:val="009430EB"/>
    <w:rsid w:val="009438A9"/>
    <w:rsid w:val="00943B41"/>
    <w:rsid w:val="009445F5"/>
    <w:rsid w:val="00946225"/>
    <w:rsid w:val="00946332"/>
    <w:rsid w:val="00946CE1"/>
    <w:rsid w:val="0094792A"/>
    <w:rsid w:val="009507A1"/>
    <w:rsid w:val="009514CD"/>
    <w:rsid w:val="00951D41"/>
    <w:rsid w:val="009542E3"/>
    <w:rsid w:val="0095469B"/>
    <w:rsid w:val="00954D2B"/>
    <w:rsid w:val="00955633"/>
    <w:rsid w:val="00955FDC"/>
    <w:rsid w:val="00957066"/>
    <w:rsid w:val="0096100C"/>
    <w:rsid w:val="00963AA8"/>
    <w:rsid w:val="009640B7"/>
    <w:rsid w:val="009660BA"/>
    <w:rsid w:val="0096736E"/>
    <w:rsid w:val="00970CCF"/>
    <w:rsid w:val="009715C2"/>
    <w:rsid w:val="00971999"/>
    <w:rsid w:val="00972CAF"/>
    <w:rsid w:val="0097358C"/>
    <w:rsid w:val="009738A8"/>
    <w:rsid w:val="00973DA0"/>
    <w:rsid w:val="009742C0"/>
    <w:rsid w:val="009745C3"/>
    <w:rsid w:val="00975B23"/>
    <w:rsid w:val="00975E5C"/>
    <w:rsid w:val="00975FD9"/>
    <w:rsid w:val="009767CF"/>
    <w:rsid w:val="00976AAE"/>
    <w:rsid w:val="00977394"/>
    <w:rsid w:val="009803B7"/>
    <w:rsid w:val="009811AA"/>
    <w:rsid w:val="00981F13"/>
    <w:rsid w:val="00982F2A"/>
    <w:rsid w:val="0098318B"/>
    <w:rsid w:val="0098384F"/>
    <w:rsid w:val="0098492C"/>
    <w:rsid w:val="00985C8A"/>
    <w:rsid w:val="00986043"/>
    <w:rsid w:val="009863EC"/>
    <w:rsid w:val="00986D05"/>
    <w:rsid w:val="00992C83"/>
    <w:rsid w:val="00992E6B"/>
    <w:rsid w:val="0099447C"/>
    <w:rsid w:val="00994506"/>
    <w:rsid w:val="00995549"/>
    <w:rsid w:val="00995760"/>
    <w:rsid w:val="00997DE7"/>
    <w:rsid w:val="009A11C3"/>
    <w:rsid w:val="009A1794"/>
    <w:rsid w:val="009A230B"/>
    <w:rsid w:val="009A2FF0"/>
    <w:rsid w:val="009A363A"/>
    <w:rsid w:val="009A36D9"/>
    <w:rsid w:val="009A3D72"/>
    <w:rsid w:val="009A44AB"/>
    <w:rsid w:val="009A4A17"/>
    <w:rsid w:val="009A4BDB"/>
    <w:rsid w:val="009A51A8"/>
    <w:rsid w:val="009A5DDD"/>
    <w:rsid w:val="009A64A5"/>
    <w:rsid w:val="009A7683"/>
    <w:rsid w:val="009A76D6"/>
    <w:rsid w:val="009B00AD"/>
    <w:rsid w:val="009B06F6"/>
    <w:rsid w:val="009B0A8F"/>
    <w:rsid w:val="009B0D94"/>
    <w:rsid w:val="009B3271"/>
    <w:rsid w:val="009B5E9C"/>
    <w:rsid w:val="009B7368"/>
    <w:rsid w:val="009C152B"/>
    <w:rsid w:val="009C27C2"/>
    <w:rsid w:val="009C47ED"/>
    <w:rsid w:val="009C5106"/>
    <w:rsid w:val="009C5133"/>
    <w:rsid w:val="009C562B"/>
    <w:rsid w:val="009C5C33"/>
    <w:rsid w:val="009C6D2F"/>
    <w:rsid w:val="009D0615"/>
    <w:rsid w:val="009D3C2E"/>
    <w:rsid w:val="009D3C80"/>
    <w:rsid w:val="009D4563"/>
    <w:rsid w:val="009D659D"/>
    <w:rsid w:val="009D733B"/>
    <w:rsid w:val="009E0AC3"/>
    <w:rsid w:val="009E1ED4"/>
    <w:rsid w:val="009E23AE"/>
    <w:rsid w:val="009E2E53"/>
    <w:rsid w:val="009E319E"/>
    <w:rsid w:val="009E3AFD"/>
    <w:rsid w:val="009E5315"/>
    <w:rsid w:val="009E65D3"/>
    <w:rsid w:val="009E7CB7"/>
    <w:rsid w:val="009F057C"/>
    <w:rsid w:val="009F2519"/>
    <w:rsid w:val="009F4380"/>
    <w:rsid w:val="009F4410"/>
    <w:rsid w:val="009F5648"/>
    <w:rsid w:val="009F7889"/>
    <w:rsid w:val="00A016C2"/>
    <w:rsid w:val="00A0313F"/>
    <w:rsid w:val="00A0375B"/>
    <w:rsid w:val="00A0579D"/>
    <w:rsid w:val="00A0731E"/>
    <w:rsid w:val="00A110B2"/>
    <w:rsid w:val="00A118C9"/>
    <w:rsid w:val="00A12909"/>
    <w:rsid w:val="00A13F1F"/>
    <w:rsid w:val="00A14834"/>
    <w:rsid w:val="00A153DD"/>
    <w:rsid w:val="00A15F53"/>
    <w:rsid w:val="00A16263"/>
    <w:rsid w:val="00A16A84"/>
    <w:rsid w:val="00A2015F"/>
    <w:rsid w:val="00A207B0"/>
    <w:rsid w:val="00A212E7"/>
    <w:rsid w:val="00A21566"/>
    <w:rsid w:val="00A219EF"/>
    <w:rsid w:val="00A225ED"/>
    <w:rsid w:val="00A2410A"/>
    <w:rsid w:val="00A24B03"/>
    <w:rsid w:val="00A25A5E"/>
    <w:rsid w:val="00A26C01"/>
    <w:rsid w:val="00A312C6"/>
    <w:rsid w:val="00A31B80"/>
    <w:rsid w:val="00A32145"/>
    <w:rsid w:val="00A3274D"/>
    <w:rsid w:val="00A337E1"/>
    <w:rsid w:val="00A34048"/>
    <w:rsid w:val="00A346DF"/>
    <w:rsid w:val="00A35795"/>
    <w:rsid w:val="00A365E9"/>
    <w:rsid w:val="00A3760A"/>
    <w:rsid w:val="00A42420"/>
    <w:rsid w:val="00A428D7"/>
    <w:rsid w:val="00A42FF9"/>
    <w:rsid w:val="00A4584B"/>
    <w:rsid w:val="00A47062"/>
    <w:rsid w:val="00A47955"/>
    <w:rsid w:val="00A47C78"/>
    <w:rsid w:val="00A47E71"/>
    <w:rsid w:val="00A50BD7"/>
    <w:rsid w:val="00A519F5"/>
    <w:rsid w:val="00A51A85"/>
    <w:rsid w:val="00A51E47"/>
    <w:rsid w:val="00A52715"/>
    <w:rsid w:val="00A52B76"/>
    <w:rsid w:val="00A544CB"/>
    <w:rsid w:val="00A551C5"/>
    <w:rsid w:val="00A56C3E"/>
    <w:rsid w:val="00A5730A"/>
    <w:rsid w:val="00A57A66"/>
    <w:rsid w:val="00A57EF7"/>
    <w:rsid w:val="00A60AC0"/>
    <w:rsid w:val="00A61614"/>
    <w:rsid w:val="00A61C57"/>
    <w:rsid w:val="00A621A4"/>
    <w:rsid w:val="00A63F6A"/>
    <w:rsid w:val="00A64D69"/>
    <w:rsid w:val="00A6545D"/>
    <w:rsid w:val="00A670EF"/>
    <w:rsid w:val="00A67E5B"/>
    <w:rsid w:val="00A67EBC"/>
    <w:rsid w:val="00A70B97"/>
    <w:rsid w:val="00A70D0B"/>
    <w:rsid w:val="00A71476"/>
    <w:rsid w:val="00A72B51"/>
    <w:rsid w:val="00A73918"/>
    <w:rsid w:val="00A753D5"/>
    <w:rsid w:val="00A75AF9"/>
    <w:rsid w:val="00A764BB"/>
    <w:rsid w:val="00A80895"/>
    <w:rsid w:val="00A8093A"/>
    <w:rsid w:val="00A81EC9"/>
    <w:rsid w:val="00A8277D"/>
    <w:rsid w:val="00A8295F"/>
    <w:rsid w:val="00A82F0F"/>
    <w:rsid w:val="00A84F82"/>
    <w:rsid w:val="00A85962"/>
    <w:rsid w:val="00A85C27"/>
    <w:rsid w:val="00A86349"/>
    <w:rsid w:val="00A875BE"/>
    <w:rsid w:val="00A87A69"/>
    <w:rsid w:val="00A91A70"/>
    <w:rsid w:val="00A91B4C"/>
    <w:rsid w:val="00A924E1"/>
    <w:rsid w:val="00A94A64"/>
    <w:rsid w:val="00A95CE4"/>
    <w:rsid w:val="00A96556"/>
    <w:rsid w:val="00A9675B"/>
    <w:rsid w:val="00A978A7"/>
    <w:rsid w:val="00AA0222"/>
    <w:rsid w:val="00AA1152"/>
    <w:rsid w:val="00AA2438"/>
    <w:rsid w:val="00AA47EC"/>
    <w:rsid w:val="00AA49D5"/>
    <w:rsid w:val="00AB26F7"/>
    <w:rsid w:val="00AB3BA7"/>
    <w:rsid w:val="00AB3EDC"/>
    <w:rsid w:val="00AB4521"/>
    <w:rsid w:val="00AB50BC"/>
    <w:rsid w:val="00AB7325"/>
    <w:rsid w:val="00AB7B67"/>
    <w:rsid w:val="00AC1DA5"/>
    <w:rsid w:val="00AC1E6B"/>
    <w:rsid w:val="00AC425C"/>
    <w:rsid w:val="00AC5392"/>
    <w:rsid w:val="00AC5A52"/>
    <w:rsid w:val="00AC6332"/>
    <w:rsid w:val="00AC6508"/>
    <w:rsid w:val="00AD11E3"/>
    <w:rsid w:val="00AD1276"/>
    <w:rsid w:val="00AD32A5"/>
    <w:rsid w:val="00AD4529"/>
    <w:rsid w:val="00AD50FA"/>
    <w:rsid w:val="00AD56BE"/>
    <w:rsid w:val="00AD57D5"/>
    <w:rsid w:val="00AD74CB"/>
    <w:rsid w:val="00AD7E96"/>
    <w:rsid w:val="00AE0643"/>
    <w:rsid w:val="00AE1433"/>
    <w:rsid w:val="00AE1542"/>
    <w:rsid w:val="00AE3E16"/>
    <w:rsid w:val="00AE42ED"/>
    <w:rsid w:val="00AE4624"/>
    <w:rsid w:val="00AE4FCC"/>
    <w:rsid w:val="00AE588A"/>
    <w:rsid w:val="00AE6266"/>
    <w:rsid w:val="00AE780B"/>
    <w:rsid w:val="00AF0F3A"/>
    <w:rsid w:val="00AF1383"/>
    <w:rsid w:val="00AF1F0A"/>
    <w:rsid w:val="00AF2236"/>
    <w:rsid w:val="00AF2D7A"/>
    <w:rsid w:val="00AF4384"/>
    <w:rsid w:val="00AF47DB"/>
    <w:rsid w:val="00AF58B2"/>
    <w:rsid w:val="00AF6BDD"/>
    <w:rsid w:val="00AF6F09"/>
    <w:rsid w:val="00B012A6"/>
    <w:rsid w:val="00B045C9"/>
    <w:rsid w:val="00B05A65"/>
    <w:rsid w:val="00B068AF"/>
    <w:rsid w:val="00B069BF"/>
    <w:rsid w:val="00B06A1F"/>
    <w:rsid w:val="00B07065"/>
    <w:rsid w:val="00B078A8"/>
    <w:rsid w:val="00B119BE"/>
    <w:rsid w:val="00B12949"/>
    <w:rsid w:val="00B12FA8"/>
    <w:rsid w:val="00B13A1C"/>
    <w:rsid w:val="00B146FC"/>
    <w:rsid w:val="00B22A2D"/>
    <w:rsid w:val="00B23709"/>
    <w:rsid w:val="00B23BF9"/>
    <w:rsid w:val="00B24C0C"/>
    <w:rsid w:val="00B26316"/>
    <w:rsid w:val="00B3212F"/>
    <w:rsid w:val="00B3408C"/>
    <w:rsid w:val="00B34507"/>
    <w:rsid w:val="00B34793"/>
    <w:rsid w:val="00B369AC"/>
    <w:rsid w:val="00B3768D"/>
    <w:rsid w:val="00B40AC3"/>
    <w:rsid w:val="00B40B55"/>
    <w:rsid w:val="00B41025"/>
    <w:rsid w:val="00B43C27"/>
    <w:rsid w:val="00B47E5D"/>
    <w:rsid w:val="00B50A44"/>
    <w:rsid w:val="00B50DE9"/>
    <w:rsid w:val="00B518B5"/>
    <w:rsid w:val="00B52417"/>
    <w:rsid w:val="00B539EC"/>
    <w:rsid w:val="00B5405F"/>
    <w:rsid w:val="00B54152"/>
    <w:rsid w:val="00B54D76"/>
    <w:rsid w:val="00B55D69"/>
    <w:rsid w:val="00B568B8"/>
    <w:rsid w:val="00B57974"/>
    <w:rsid w:val="00B57C20"/>
    <w:rsid w:val="00B6099B"/>
    <w:rsid w:val="00B6109B"/>
    <w:rsid w:val="00B618B2"/>
    <w:rsid w:val="00B62131"/>
    <w:rsid w:val="00B621E8"/>
    <w:rsid w:val="00B64988"/>
    <w:rsid w:val="00B65221"/>
    <w:rsid w:val="00B652F5"/>
    <w:rsid w:val="00B66426"/>
    <w:rsid w:val="00B66ED0"/>
    <w:rsid w:val="00B6789A"/>
    <w:rsid w:val="00B67B7B"/>
    <w:rsid w:val="00B70B52"/>
    <w:rsid w:val="00B73C99"/>
    <w:rsid w:val="00B745A3"/>
    <w:rsid w:val="00B75F0C"/>
    <w:rsid w:val="00B770DE"/>
    <w:rsid w:val="00B77625"/>
    <w:rsid w:val="00B806AE"/>
    <w:rsid w:val="00B81C2B"/>
    <w:rsid w:val="00B82433"/>
    <w:rsid w:val="00B82882"/>
    <w:rsid w:val="00B82D4A"/>
    <w:rsid w:val="00B84B07"/>
    <w:rsid w:val="00B84ED1"/>
    <w:rsid w:val="00B85DFB"/>
    <w:rsid w:val="00B8656D"/>
    <w:rsid w:val="00B87364"/>
    <w:rsid w:val="00B91EF1"/>
    <w:rsid w:val="00B91F8D"/>
    <w:rsid w:val="00B929A2"/>
    <w:rsid w:val="00B9333D"/>
    <w:rsid w:val="00B93AB0"/>
    <w:rsid w:val="00B957A3"/>
    <w:rsid w:val="00B97A83"/>
    <w:rsid w:val="00B97AC1"/>
    <w:rsid w:val="00BA07E7"/>
    <w:rsid w:val="00BA2C42"/>
    <w:rsid w:val="00BA538B"/>
    <w:rsid w:val="00BA6517"/>
    <w:rsid w:val="00BA6A15"/>
    <w:rsid w:val="00BB0356"/>
    <w:rsid w:val="00BB0590"/>
    <w:rsid w:val="00BB2250"/>
    <w:rsid w:val="00BB3CBF"/>
    <w:rsid w:val="00BB4081"/>
    <w:rsid w:val="00BB4575"/>
    <w:rsid w:val="00BB4BA8"/>
    <w:rsid w:val="00BB57A7"/>
    <w:rsid w:val="00BB57D5"/>
    <w:rsid w:val="00BB6B4D"/>
    <w:rsid w:val="00BB6CA7"/>
    <w:rsid w:val="00BB7A19"/>
    <w:rsid w:val="00BC0489"/>
    <w:rsid w:val="00BC141D"/>
    <w:rsid w:val="00BC1DF7"/>
    <w:rsid w:val="00BC2BB1"/>
    <w:rsid w:val="00BC3112"/>
    <w:rsid w:val="00BC3145"/>
    <w:rsid w:val="00BC3871"/>
    <w:rsid w:val="00BC3AED"/>
    <w:rsid w:val="00BC5083"/>
    <w:rsid w:val="00BC52FA"/>
    <w:rsid w:val="00BC698C"/>
    <w:rsid w:val="00BC752C"/>
    <w:rsid w:val="00BC7CA7"/>
    <w:rsid w:val="00BD121B"/>
    <w:rsid w:val="00BD49CF"/>
    <w:rsid w:val="00BD68F6"/>
    <w:rsid w:val="00BD7490"/>
    <w:rsid w:val="00BD789F"/>
    <w:rsid w:val="00BE029D"/>
    <w:rsid w:val="00BE16F7"/>
    <w:rsid w:val="00BE2C21"/>
    <w:rsid w:val="00BE534A"/>
    <w:rsid w:val="00BE5A1C"/>
    <w:rsid w:val="00BE7004"/>
    <w:rsid w:val="00BF0ED0"/>
    <w:rsid w:val="00BF0FE6"/>
    <w:rsid w:val="00BF408B"/>
    <w:rsid w:val="00BF4A9F"/>
    <w:rsid w:val="00BF52BD"/>
    <w:rsid w:val="00BF5BBC"/>
    <w:rsid w:val="00BF6776"/>
    <w:rsid w:val="00BF6B3D"/>
    <w:rsid w:val="00BF6F64"/>
    <w:rsid w:val="00C01214"/>
    <w:rsid w:val="00C01B9C"/>
    <w:rsid w:val="00C024BF"/>
    <w:rsid w:val="00C03051"/>
    <w:rsid w:val="00C0381F"/>
    <w:rsid w:val="00C042AA"/>
    <w:rsid w:val="00C04A75"/>
    <w:rsid w:val="00C10E21"/>
    <w:rsid w:val="00C12B14"/>
    <w:rsid w:val="00C1340B"/>
    <w:rsid w:val="00C13475"/>
    <w:rsid w:val="00C137E0"/>
    <w:rsid w:val="00C1408C"/>
    <w:rsid w:val="00C14172"/>
    <w:rsid w:val="00C141E9"/>
    <w:rsid w:val="00C14915"/>
    <w:rsid w:val="00C1561E"/>
    <w:rsid w:val="00C15DF9"/>
    <w:rsid w:val="00C17181"/>
    <w:rsid w:val="00C200D6"/>
    <w:rsid w:val="00C20B00"/>
    <w:rsid w:val="00C21108"/>
    <w:rsid w:val="00C22438"/>
    <w:rsid w:val="00C23911"/>
    <w:rsid w:val="00C24125"/>
    <w:rsid w:val="00C248B1"/>
    <w:rsid w:val="00C25B46"/>
    <w:rsid w:val="00C2762C"/>
    <w:rsid w:val="00C276E3"/>
    <w:rsid w:val="00C303AE"/>
    <w:rsid w:val="00C3190F"/>
    <w:rsid w:val="00C321C6"/>
    <w:rsid w:val="00C324E4"/>
    <w:rsid w:val="00C32AD3"/>
    <w:rsid w:val="00C32AF0"/>
    <w:rsid w:val="00C32D2D"/>
    <w:rsid w:val="00C332D4"/>
    <w:rsid w:val="00C33F10"/>
    <w:rsid w:val="00C33F81"/>
    <w:rsid w:val="00C348B6"/>
    <w:rsid w:val="00C35454"/>
    <w:rsid w:val="00C413AB"/>
    <w:rsid w:val="00C41D0A"/>
    <w:rsid w:val="00C41FBA"/>
    <w:rsid w:val="00C425E1"/>
    <w:rsid w:val="00C433A4"/>
    <w:rsid w:val="00C43739"/>
    <w:rsid w:val="00C452B6"/>
    <w:rsid w:val="00C455BF"/>
    <w:rsid w:val="00C45738"/>
    <w:rsid w:val="00C46A80"/>
    <w:rsid w:val="00C47D55"/>
    <w:rsid w:val="00C505CB"/>
    <w:rsid w:val="00C50C5C"/>
    <w:rsid w:val="00C512B8"/>
    <w:rsid w:val="00C517C6"/>
    <w:rsid w:val="00C518A3"/>
    <w:rsid w:val="00C52BF5"/>
    <w:rsid w:val="00C5363A"/>
    <w:rsid w:val="00C5525A"/>
    <w:rsid w:val="00C55C6F"/>
    <w:rsid w:val="00C57034"/>
    <w:rsid w:val="00C60519"/>
    <w:rsid w:val="00C60B1A"/>
    <w:rsid w:val="00C60D1A"/>
    <w:rsid w:val="00C6125A"/>
    <w:rsid w:val="00C62371"/>
    <w:rsid w:val="00C62BE5"/>
    <w:rsid w:val="00C62BED"/>
    <w:rsid w:val="00C6318D"/>
    <w:rsid w:val="00C651C9"/>
    <w:rsid w:val="00C65359"/>
    <w:rsid w:val="00C65502"/>
    <w:rsid w:val="00C656E1"/>
    <w:rsid w:val="00C66025"/>
    <w:rsid w:val="00C6737A"/>
    <w:rsid w:val="00C675CC"/>
    <w:rsid w:val="00C67E24"/>
    <w:rsid w:val="00C70180"/>
    <w:rsid w:val="00C70532"/>
    <w:rsid w:val="00C7122E"/>
    <w:rsid w:val="00C712B6"/>
    <w:rsid w:val="00C721BB"/>
    <w:rsid w:val="00C72811"/>
    <w:rsid w:val="00C73972"/>
    <w:rsid w:val="00C74368"/>
    <w:rsid w:val="00C75C99"/>
    <w:rsid w:val="00C800B6"/>
    <w:rsid w:val="00C81377"/>
    <w:rsid w:val="00C81712"/>
    <w:rsid w:val="00C81B92"/>
    <w:rsid w:val="00C8231C"/>
    <w:rsid w:val="00C824E6"/>
    <w:rsid w:val="00C838AF"/>
    <w:rsid w:val="00C84462"/>
    <w:rsid w:val="00C850A5"/>
    <w:rsid w:val="00C901E5"/>
    <w:rsid w:val="00C90356"/>
    <w:rsid w:val="00C90C6F"/>
    <w:rsid w:val="00C910B6"/>
    <w:rsid w:val="00C91E04"/>
    <w:rsid w:val="00C91EFD"/>
    <w:rsid w:val="00C92A64"/>
    <w:rsid w:val="00C94AFD"/>
    <w:rsid w:val="00C95877"/>
    <w:rsid w:val="00C96472"/>
    <w:rsid w:val="00C97856"/>
    <w:rsid w:val="00C97AF9"/>
    <w:rsid w:val="00CA0E16"/>
    <w:rsid w:val="00CA35F5"/>
    <w:rsid w:val="00CA3E40"/>
    <w:rsid w:val="00CA4FEC"/>
    <w:rsid w:val="00CA65E2"/>
    <w:rsid w:val="00CA6D60"/>
    <w:rsid w:val="00CA75BD"/>
    <w:rsid w:val="00CA77DC"/>
    <w:rsid w:val="00CA789D"/>
    <w:rsid w:val="00CA7BF7"/>
    <w:rsid w:val="00CA7DCF"/>
    <w:rsid w:val="00CB36C3"/>
    <w:rsid w:val="00CB36EA"/>
    <w:rsid w:val="00CB5534"/>
    <w:rsid w:val="00CB58C4"/>
    <w:rsid w:val="00CB5C6B"/>
    <w:rsid w:val="00CB5D02"/>
    <w:rsid w:val="00CB7607"/>
    <w:rsid w:val="00CB794A"/>
    <w:rsid w:val="00CC0107"/>
    <w:rsid w:val="00CC0B26"/>
    <w:rsid w:val="00CC32CE"/>
    <w:rsid w:val="00CC4BA4"/>
    <w:rsid w:val="00CC5F31"/>
    <w:rsid w:val="00CC675C"/>
    <w:rsid w:val="00CC7675"/>
    <w:rsid w:val="00CD0676"/>
    <w:rsid w:val="00CD21AB"/>
    <w:rsid w:val="00CD32CE"/>
    <w:rsid w:val="00CD4142"/>
    <w:rsid w:val="00CD41E4"/>
    <w:rsid w:val="00CD4332"/>
    <w:rsid w:val="00CD52DC"/>
    <w:rsid w:val="00CD5D3B"/>
    <w:rsid w:val="00CD684C"/>
    <w:rsid w:val="00CE0B1F"/>
    <w:rsid w:val="00CE17C2"/>
    <w:rsid w:val="00CE3459"/>
    <w:rsid w:val="00CE362A"/>
    <w:rsid w:val="00CE46E5"/>
    <w:rsid w:val="00CE5A63"/>
    <w:rsid w:val="00CE5D0F"/>
    <w:rsid w:val="00CE6CE9"/>
    <w:rsid w:val="00CE759D"/>
    <w:rsid w:val="00CF1546"/>
    <w:rsid w:val="00CF1A08"/>
    <w:rsid w:val="00CF37B1"/>
    <w:rsid w:val="00CF3E83"/>
    <w:rsid w:val="00CF4FDC"/>
    <w:rsid w:val="00D0034B"/>
    <w:rsid w:val="00D01B8C"/>
    <w:rsid w:val="00D02050"/>
    <w:rsid w:val="00D02AA5"/>
    <w:rsid w:val="00D02B54"/>
    <w:rsid w:val="00D04460"/>
    <w:rsid w:val="00D055AA"/>
    <w:rsid w:val="00D0639E"/>
    <w:rsid w:val="00D0717F"/>
    <w:rsid w:val="00D076FD"/>
    <w:rsid w:val="00D1073D"/>
    <w:rsid w:val="00D10A64"/>
    <w:rsid w:val="00D11240"/>
    <w:rsid w:val="00D11D97"/>
    <w:rsid w:val="00D12CC3"/>
    <w:rsid w:val="00D160C7"/>
    <w:rsid w:val="00D1616F"/>
    <w:rsid w:val="00D1621C"/>
    <w:rsid w:val="00D16D6F"/>
    <w:rsid w:val="00D171A7"/>
    <w:rsid w:val="00D20139"/>
    <w:rsid w:val="00D2365E"/>
    <w:rsid w:val="00D23FF0"/>
    <w:rsid w:val="00D25F9C"/>
    <w:rsid w:val="00D25FED"/>
    <w:rsid w:val="00D26064"/>
    <w:rsid w:val="00D2748A"/>
    <w:rsid w:val="00D300EA"/>
    <w:rsid w:val="00D3071F"/>
    <w:rsid w:val="00D31338"/>
    <w:rsid w:val="00D31347"/>
    <w:rsid w:val="00D31CAD"/>
    <w:rsid w:val="00D3304B"/>
    <w:rsid w:val="00D352D8"/>
    <w:rsid w:val="00D35F27"/>
    <w:rsid w:val="00D36243"/>
    <w:rsid w:val="00D365C1"/>
    <w:rsid w:val="00D3697C"/>
    <w:rsid w:val="00D37470"/>
    <w:rsid w:val="00D37807"/>
    <w:rsid w:val="00D401B2"/>
    <w:rsid w:val="00D41B1B"/>
    <w:rsid w:val="00D42975"/>
    <w:rsid w:val="00D43D84"/>
    <w:rsid w:val="00D4575A"/>
    <w:rsid w:val="00D46B7C"/>
    <w:rsid w:val="00D50397"/>
    <w:rsid w:val="00D53157"/>
    <w:rsid w:val="00D536CC"/>
    <w:rsid w:val="00D5452D"/>
    <w:rsid w:val="00D547BE"/>
    <w:rsid w:val="00D54BCF"/>
    <w:rsid w:val="00D55411"/>
    <w:rsid w:val="00D55D7C"/>
    <w:rsid w:val="00D5616C"/>
    <w:rsid w:val="00D60916"/>
    <w:rsid w:val="00D62886"/>
    <w:rsid w:val="00D62C75"/>
    <w:rsid w:val="00D62D41"/>
    <w:rsid w:val="00D63C86"/>
    <w:rsid w:val="00D63E2C"/>
    <w:rsid w:val="00D6456E"/>
    <w:rsid w:val="00D6515C"/>
    <w:rsid w:val="00D7260F"/>
    <w:rsid w:val="00D73755"/>
    <w:rsid w:val="00D73844"/>
    <w:rsid w:val="00D74F39"/>
    <w:rsid w:val="00D75045"/>
    <w:rsid w:val="00D75756"/>
    <w:rsid w:val="00D76983"/>
    <w:rsid w:val="00D76C7D"/>
    <w:rsid w:val="00D7702C"/>
    <w:rsid w:val="00D775B3"/>
    <w:rsid w:val="00D803BD"/>
    <w:rsid w:val="00D810C4"/>
    <w:rsid w:val="00D81A03"/>
    <w:rsid w:val="00D83601"/>
    <w:rsid w:val="00D837B0"/>
    <w:rsid w:val="00D8420A"/>
    <w:rsid w:val="00D851C5"/>
    <w:rsid w:val="00D86059"/>
    <w:rsid w:val="00D8713A"/>
    <w:rsid w:val="00D87385"/>
    <w:rsid w:val="00D87984"/>
    <w:rsid w:val="00D90A65"/>
    <w:rsid w:val="00D91F5B"/>
    <w:rsid w:val="00D9274F"/>
    <w:rsid w:val="00D92888"/>
    <w:rsid w:val="00D945D4"/>
    <w:rsid w:val="00D94B2F"/>
    <w:rsid w:val="00D959D6"/>
    <w:rsid w:val="00D97115"/>
    <w:rsid w:val="00D978AB"/>
    <w:rsid w:val="00DA0394"/>
    <w:rsid w:val="00DA085C"/>
    <w:rsid w:val="00DA1045"/>
    <w:rsid w:val="00DA122E"/>
    <w:rsid w:val="00DA18F3"/>
    <w:rsid w:val="00DA1AA3"/>
    <w:rsid w:val="00DA1AFB"/>
    <w:rsid w:val="00DA1DBB"/>
    <w:rsid w:val="00DA1DE2"/>
    <w:rsid w:val="00DA36A9"/>
    <w:rsid w:val="00DA4AF3"/>
    <w:rsid w:val="00DA50B9"/>
    <w:rsid w:val="00DA5108"/>
    <w:rsid w:val="00DA5A59"/>
    <w:rsid w:val="00DA7E0D"/>
    <w:rsid w:val="00DB0B22"/>
    <w:rsid w:val="00DB0E5C"/>
    <w:rsid w:val="00DB1C73"/>
    <w:rsid w:val="00DB1E1B"/>
    <w:rsid w:val="00DB44B4"/>
    <w:rsid w:val="00DB4929"/>
    <w:rsid w:val="00DB5327"/>
    <w:rsid w:val="00DB5593"/>
    <w:rsid w:val="00DC000F"/>
    <w:rsid w:val="00DC07AD"/>
    <w:rsid w:val="00DC19C5"/>
    <w:rsid w:val="00DC32B8"/>
    <w:rsid w:val="00DC50EC"/>
    <w:rsid w:val="00DC64D5"/>
    <w:rsid w:val="00DD000A"/>
    <w:rsid w:val="00DD028E"/>
    <w:rsid w:val="00DD0F56"/>
    <w:rsid w:val="00DD1EE0"/>
    <w:rsid w:val="00DD2C22"/>
    <w:rsid w:val="00DD31B8"/>
    <w:rsid w:val="00DD3674"/>
    <w:rsid w:val="00DD4605"/>
    <w:rsid w:val="00DD4A8D"/>
    <w:rsid w:val="00DD6688"/>
    <w:rsid w:val="00DD6FBB"/>
    <w:rsid w:val="00DD7AFC"/>
    <w:rsid w:val="00DE2F3E"/>
    <w:rsid w:val="00DE37AC"/>
    <w:rsid w:val="00DE3AD3"/>
    <w:rsid w:val="00DE4864"/>
    <w:rsid w:val="00DE4ECF"/>
    <w:rsid w:val="00DE65CD"/>
    <w:rsid w:val="00DF01F6"/>
    <w:rsid w:val="00DF138F"/>
    <w:rsid w:val="00DF155F"/>
    <w:rsid w:val="00DF2E52"/>
    <w:rsid w:val="00DF314C"/>
    <w:rsid w:val="00DF3516"/>
    <w:rsid w:val="00DF48C3"/>
    <w:rsid w:val="00DF54D7"/>
    <w:rsid w:val="00DF5D36"/>
    <w:rsid w:val="00DF6532"/>
    <w:rsid w:val="00DF66E7"/>
    <w:rsid w:val="00DF74C1"/>
    <w:rsid w:val="00DF767C"/>
    <w:rsid w:val="00DF7959"/>
    <w:rsid w:val="00DF7C9A"/>
    <w:rsid w:val="00DF7DF5"/>
    <w:rsid w:val="00E0007B"/>
    <w:rsid w:val="00E00839"/>
    <w:rsid w:val="00E018B5"/>
    <w:rsid w:val="00E021E8"/>
    <w:rsid w:val="00E024D2"/>
    <w:rsid w:val="00E02D1D"/>
    <w:rsid w:val="00E02F5B"/>
    <w:rsid w:val="00E0354C"/>
    <w:rsid w:val="00E04300"/>
    <w:rsid w:val="00E04512"/>
    <w:rsid w:val="00E0664D"/>
    <w:rsid w:val="00E0690A"/>
    <w:rsid w:val="00E06E31"/>
    <w:rsid w:val="00E10AFE"/>
    <w:rsid w:val="00E11AC4"/>
    <w:rsid w:val="00E13791"/>
    <w:rsid w:val="00E13A31"/>
    <w:rsid w:val="00E16DA4"/>
    <w:rsid w:val="00E17D29"/>
    <w:rsid w:val="00E2013F"/>
    <w:rsid w:val="00E202FB"/>
    <w:rsid w:val="00E207DE"/>
    <w:rsid w:val="00E2094A"/>
    <w:rsid w:val="00E237D3"/>
    <w:rsid w:val="00E238F3"/>
    <w:rsid w:val="00E240A6"/>
    <w:rsid w:val="00E24182"/>
    <w:rsid w:val="00E24EA5"/>
    <w:rsid w:val="00E26494"/>
    <w:rsid w:val="00E276A9"/>
    <w:rsid w:val="00E32FC7"/>
    <w:rsid w:val="00E3300E"/>
    <w:rsid w:val="00E3328A"/>
    <w:rsid w:val="00E33D9A"/>
    <w:rsid w:val="00E3421F"/>
    <w:rsid w:val="00E347EE"/>
    <w:rsid w:val="00E37311"/>
    <w:rsid w:val="00E37B5A"/>
    <w:rsid w:val="00E37CC8"/>
    <w:rsid w:val="00E409AD"/>
    <w:rsid w:val="00E4142A"/>
    <w:rsid w:val="00E41491"/>
    <w:rsid w:val="00E41B9D"/>
    <w:rsid w:val="00E4327D"/>
    <w:rsid w:val="00E439A7"/>
    <w:rsid w:val="00E4440A"/>
    <w:rsid w:val="00E44627"/>
    <w:rsid w:val="00E452D0"/>
    <w:rsid w:val="00E4531A"/>
    <w:rsid w:val="00E456F6"/>
    <w:rsid w:val="00E45D5A"/>
    <w:rsid w:val="00E466BB"/>
    <w:rsid w:val="00E47D52"/>
    <w:rsid w:val="00E51F19"/>
    <w:rsid w:val="00E52AD5"/>
    <w:rsid w:val="00E5347B"/>
    <w:rsid w:val="00E54193"/>
    <w:rsid w:val="00E55253"/>
    <w:rsid w:val="00E56213"/>
    <w:rsid w:val="00E562C5"/>
    <w:rsid w:val="00E60AA8"/>
    <w:rsid w:val="00E6180F"/>
    <w:rsid w:val="00E61BAC"/>
    <w:rsid w:val="00E62E09"/>
    <w:rsid w:val="00E63124"/>
    <w:rsid w:val="00E66D35"/>
    <w:rsid w:val="00E6735F"/>
    <w:rsid w:val="00E67509"/>
    <w:rsid w:val="00E707BD"/>
    <w:rsid w:val="00E707E2"/>
    <w:rsid w:val="00E716B6"/>
    <w:rsid w:val="00E71926"/>
    <w:rsid w:val="00E722C0"/>
    <w:rsid w:val="00E72A2E"/>
    <w:rsid w:val="00E72F09"/>
    <w:rsid w:val="00E73689"/>
    <w:rsid w:val="00E737C5"/>
    <w:rsid w:val="00E762F0"/>
    <w:rsid w:val="00E7630C"/>
    <w:rsid w:val="00E768FB"/>
    <w:rsid w:val="00E769E4"/>
    <w:rsid w:val="00E76AAE"/>
    <w:rsid w:val="00E77394"/>
    <w:rsid w:val="00E8116D"/>
    <w:rsid w:val="00E814C5"/>
    <w:rsid w:val="00E8261D"/>
    <w:rsid w:val="00E82A68"/>
    <w:rsid w:val="00E861A9"/>
    <w:rsid w:val="00E87B9A"/>
    <w:rsid w:val="00E87C2A"/>
    <w:rsid w:val="00E904FC"/>
    <w:rsid w:val="00E90543"/>
    <w:rsid w:val="00E90E29"/>
    <w:rsid w:val="00E941B7"/>
    <w:rsid w:val="00E95980"/>
    <w:rsid w:val="00E961EF"/>
    <w:rsid w:val="00E96F37"/>
    <w:rsid w:val="00E97604"/>
    <w:rsid w:val="00EA24A6"/>
    <w:rsid w:val="00EA2698"/>
    <w:rsid w:val="00EA30E2"/>
    <w:rsid w:val="00EA351A"/>
    <w:rsid w:val="00EA3750"/>
    <w:rsid w:val="00EA3D89"/>
    <w:rsid w:val="00EA5E5E"/>
    <w:rsid w:val="00EA7FF0"/>
    <w:rsid w:val="00EB0608"/>
    <w:rsid w:val="00EB0DFE"/>
    <w:rsid w:val="00EB25B6"/>
    <w:rsid w:val="00EB38BA"/>
    <w:rsid w:val="00EB6A57"/>
    <w:rsid w:val="00EB7E1F"/>
    <w:rsid w:val="00EC0B9C"/>
    <w:rsid w:val="00EC1DD8"/>
    <w:rsid w:val="00EC2787"/>
    <w:rsid w:val="00EC30CF"/>
    <w:rsid w:val="00EC4143"/>
    <w:rsid w:val="00EC435D"/>
    <w:rsid w:val="00EC553F"/>
    <w:rsid w:val="00EC5D41"/>
    <w:rsid w:val="00EC72F2"/>
    <w:rsid w:val="00ED0E0B"/>
    <w:rsid w:val="00ED10BF"/>
    <w:rsid w:val="00ED3815"/>
    <w:rsid w:val="00ED4423"/>
    <w:rsid w:val="00ED5046"/>
    <w:rsid w:val="00ED7A65"/>
    <w:rsid w:val="00EE0B2F"/>
    <w:rsid w:val="00EE0CBB"/>
    <w:rsid w:val="00EE222B"/>
    <w:rsid w:val="00EE2994"/>
    <w:rsid w:val="00EE2CC4"/>
    <w:rsid w:val="00EE3FBB"/>
    <w:rsid w:val="00EE4A0A"/>
    <w:rsid w:val="00EE4D58"/>
    <w:rsid w:val="00EE4F12"/>
    <w:rsid w:val="00EE553E"/>
    <w:rsid w:val="00EE6D1C"/>
    <w:rsid w:val="00EF0F29"/>
    <w:rsid w:val="00EF1B76"/>
    <w:rsid w:val="00EF235D"/>
    <w:rsid w:val="00EF45F2"/>
    <w:rsid w:val="00EF663A"/>
    <w:rsid w:val="00EF7171"/>
    <w:rsid w:val="00EF7372"/>
    <w:rsid w:val="00F0053A"/>
    <w:rsid w:val="00F017A8"/>
    <w:rsid w:val="00F0195C"/>
    <w:rsid w:val="00F02E78"/>
    <w:rsid w:val="00F03532"/>
    <w:rsid w:val="00F05DAB"/>
    <w:rsid w:val="00F065EF"/>
    <w:rsid w:val="00F0717E"/>
    <w:rsid w:val="00F1193A"/>
    <w:rsid w:val="00F14393"/>
    <w:rsid w:val="00F14756"/>
    <w:rsid w:val="00F14830"/>
    <w:rsid w:val="00F1525F"/>
    <w:rsid w:val="00F154CD"/>
    <w:rsid w:val="00F204BE"/>
    <w:rsid w:val="00F23830"/>
    <w:rsid w:val="00F24A4B"/>
    <w:rsid w:val="00F259F2"/>
    <w:rsid w:val="00F25FBA"/>
    <w:rsid w:val="00F30A6A"/>
    <w:rsid w:val="00F31F9B"/>
    <w:rsid w:val="00F33892"/>
    <w:rsid w:val="00F33AA8"/>
    <w:rsid w:val="00F34244"/>
    <w:rsid w:val="00F349AD"/>
    <w:rsid w:val="00F35FBE"/>
    <w:rsid w:val="00F372CE"/>
    <w:rsid w:val="00F37784"/>
    <w:rsid w:val="00F40296"/>
    <w:rsid w:val="00F40374"/>
    <w:rsid w:val="00F419FD"/>
    <w:rsid w:val="00F41ED0"/>
    <w:rsid w:val="00F439EC"/>
    <w:rsid w:val="00F445D0"/>
    <w:rsid w:val="00F448EB"/>
    <w:rsid w:val="00F46878"/>
    <w:rsid w:val="00F46A0A"/>
    <w:rsid w:val="00F4766C"/>
    <w:rsid w:val="00F51E60"/>
    <w:rsid w:val="00F52A0A"/>
    <w:rsid w:val="00F53D75"/>
    <w:rsid w:val="00F5416D"/>
    <w:rsid w:val="00F5607E"/>
    <w:rsid w:val="00F5690D"/>
    <w:rsid w:val="00F601D6"/>
    <w:rsid w:val="00F611E9"/>
    <w:rsid w:val="00F61997"/>
    <w:rsid w:val="00F61B32"/>
    <w:rsid w:val="00F63FF3"/>
    <w:rsid w:val="00F6456E"/>
    <w:rsid w:val="00F66E04"/>
    <w:rsid w:val="00F7003D"/>
    <w:rsid w:val="00F70CB7"/>
    <w:rsid w:val="00F7132A"/>
    <w:rsid w:val="00F71605"/>
    <w:rsid w:val="00F72FBF"/>
    <w:rsid w:val="00F7319E"/>
    <w:rsid w:val="00F74078"/>
    <w:rsid w:val="00F752F3"/>
    <w:rsid w:val="00F761C8"/>
    <w:rsid w:val="00F77142"/>
    <w:rsid w:val="00F80204"/>
    <w:rsid w:val="00F8169D"/>
    <w:rsid w:val="00F83BDD"/>
    <w:rsid w:val="00F847B7"/>
    <w:rsid w:val="00F87199"/>
    <w:rsid w:val="00F908C1"/>
    <w:rsid w:val="00F90C14"/>
    <w:rsid w:val="00F90D08"/>
    <w:rsid w:val="00F90DFC"/>
    <w:rsid w:val="00F932E0"/>
    <w:rsid w:val="00F93482"/>
    <w:rsid w:val="00F9460F"/>
    <w:rsid w:val="00F96170"/>
    <w:rsid w:val="00F97837"/>
    <w:rsid w:val="00F97C4A"/>
    <w:rsid w:val="00FA09BE"/>
    <w:rsid w:val="00FA0E30"/>
    <w:rsid w:val="00FA0E94"/>
    <w:rsid w:val="00FA0F32"/>
    <w:rsid w:val="00FA1416"/>
    <w:rsid w:val="00FA1A3B"/>
    <w:rsid w:val="00FA1BD0"/>
    <w:rsid w:val="00FA217D"/>
    <w:rsid w:val="00FA2BB6"/>
    <w:rsid w:val="00FA3478"/>
    <w:rsid w:val="00FA424F"/>
    <w:rsid w:val="00FA49EF"/>
    <w:rsid w:val="00FA5383"/>
    <w:rsid w:val="00FA64B1"/>
    <w:rsid w:val="00FA759F"/>
    <w:rsid w:val="00FA7C62"/>
    <w:rsid w:val="00FB2D78"/>
    <w:rsid w:val="00FB3321"/>
    <w:rsid w:val="00FB3FD9"/>
    <w:rsid w:val="00FB517F"/>
    <w:rsid w:val="00FB55B7"/>
    <w:rsid w:val="00FB61D7"/>
    <w:rsid w:val="00FB6367"/>
    <w:rsid w:val="00FC19EB"/>
    <w:rsid w:val="00FC2B40"/>
    <w:rsid w:val="00FC3468"/>
    <w:rsid w:val="00FC3B92"/>
    <w:rsid w:val="00FC4619"/>
    <w:rsid w:val="00FC4B65"/>
    <w:rsid w:val="00FC50ED"/>
    <w:rsid w:val="00FC5F0F"/>
    <w:rsid w:val="00FC6017"/>
    <w:rsid w:val="00FC659F"/>
    <w:rsid w:val="00FC6CB2"/>
    <w:rsid w:val="00FC7474"/>
    <w:rsid w:val="00FC79FA"/>
    <w:rsid w:val="00FD0281"/>
    <w:rsid w:val="00FD06C6"/>
    <w:rsid w:val="00FD0F44"/>
    <w:rsid w:val="00FD14FC"/>
    <w:rsid w:val="00FD1754"/>
    <w:rsid w:val="00FD1BA0"/>
    <w:rsid w:val="00FD1D61"/>
    <w:rsid w:val="00FD1D98"/>
    <w:rsid w:val="00FD272A"/>
    <w:rsid w:val="00FD2734"/>
    <w:rsid w:val="00FD3340"/>
    <w:rsid w:val="00FD3989"/>
    <w:rsid w:val="00FD4013"/>
    <w:rsid w:val="00FD51BF"/>
    <w:rsid w:val="00FD6CC2"/>
    <w:rsid w:val="00FD796A"/>
    <w:rsid w:val="00FE057E"/>
    <w:rsid w:val="00FE0CB0"/>
    <w:rsid w:val="00FE1080"/>
    <w:rsid w:val="00FE10ED"/>
    <w:rsid w:val="00FE19BC"/>
    <w:rsid w:val="00FE1BE1"/>
    <w:rsid w:val="00FE1ED0"/>
    <w:rsid w:val="00FE2E39"/>
    <w:rsid w:val="00FE5955"/>
    <w:rsid w:val="00FE6ECC"/>
    <w:rsid w:val="00FE7E09"/>
    <w:rsid w:val="00FF00DA"/>
    <w:rsid w:val="00FF13CE"/>
    <w:rsid w:val="00FF149B"/>
    <w:rsid w:val="00FF22F4"/>
    <w:rsid w:val="00FF2D68"/>
    <w:rsid w:val="00FF32CC"/>
    <w:rsid w:val="00FF3E58"/>
    <w:rsid w:val="00FF4449"/>
    <w:rsid w:val="00FF709B"/>
    <w:rsid w:val="100E1836"/>
    <w:rsid w:val="1A637FCC"/>
    <w:rsid w:val="2325ACB8"/>
    <w:rsid w:val="27928EB5"/>
    <w:rsid w:val="318CABED"/>
    <w:rsid w:val="35B860DB"/>
    <w:rsid w:val="46476374"/>
    <w:rsid w:val="4719F843"/>
    <w:rsid w:val="5A158894"/>
    <w:rsid w:val="75F0B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FFAB0"/>
  <w15:chartTrackingRefBased/>
  <w15:docId w15:val="{8C57D826-E630-42DF-868B-E5021B7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94548"/>
    <w:pPr>
      <w:spacing w:before="120" w:after="120"/>
      <w:jc w:val="both"/>
    </w:pPr>
    <w:rPr>
      <w:sz w:val="22"/>
      <w:szCs w:val="24"/>
    </w:rPr>
  </w:style>
  <w:style w:type="paragraph" w:styleId="Nadpis1">
    <w:name w:val="heading 1"/>
    <w:basedOn w:val="Normln"/>
    <w:next w:val="Normln"/>
    <w:link w:val="Nadpis1Char"/>
    <w:uiPriority w:val="9"/>
    <w:qFormat/>
    <w:rsid w:val="005A5522"/>
    <w:pPr>
      <w:keepNext/>
      <w:numPr>
        <w:numId w:val="2"/>
      </w:numPr>
      <w:spacing w:before="240" w:after="240"/>
      <w:outlineLvl w:val="0"/>
    </w:pPr>
    <w:rPr>
      <w:b/>
      <w:bCs/>
      <w:caps/>
      <w:color w:val="2F5496" w:themeColor="accent1" w:themeShade="BF"/>
      <w:sz w:val="28"/>
    </w:rPr>
  </w:style>
  <w:style w:type="paragraph" w:styleId="Nadpis2">
    <w:name w:val="heading 2"/>
    <w:basedOn w:val="Normln"/>
    <w:next w:val="Normln"/>
    <w:link w:val="Nadpis2Char"/>
    <w:uiPriority w:val="9"/>
    <w:qFormat/>
    <w:rsid w:val="00DA7E0D"/>
    <w:pPr>
      <w:keepNext/>
      <w:numPr>
        <w:ilvl w:val="1"/>
        <w:numId w:val="2"/>
      </w:numPr>
      <w:spacing w:before="240" w:after="60"/>
      <w:outlineLvl w:val="1"/>
    </w:pPr>
    <w:rPr>
      <w:rFonts w:cs="Arial"/>
      <w:b/>
      <w:bCs/>
      <w:i/>
      <w:iCs/>
      <w:color w:val="2F5496" w:themeColor="accent1" w:themeShade="BF"/>
      <w:sz w:val="24"/>
      <w:szCs w:val="28"/>
    </w:rPr>
  </w:style>
  <w:style w:type="paragraph" w:styleId="Nadpis3">
    <w:name w:val="heading 3"/>
    <w:basedOn w:val="Normln"/>
    <w:next w:val="Normln"/>
    <w:link w:val="Nadpis3Char"/>
    <w:uiPriority w:val="9"/>
    <w:qFormat/>
    <w:rsid w:val="005A5522"/>
    <w:pPr>
      <w:keepNext/>
      <w:numPr>
        <w:ilvl w:val="2"/>
        <w:numId w:val="2"/>
      </w:numPr>
      <w:outlineLvl w:val="2"/>
    </w:pPr>
    <w:rPr>
      <w:rFonts w:cs="Arial"/>
      <w:b/>
      <w:bCs/>
      <w:color w:val="1F3864" w:themeColor="accent1" w:themeShade="80"/>
      <w:szCs w:val="26"/>
    </w:rPr>
  </w:style>
  <w:style w:type="paragraph" w:styleId="Nadpis4">
    <w:name w:val="heading 4"/>
    <w:basedOn w:val="Normln"/>
    <w:next w:val="Normln"/>
    <w:link w:val="Nadpis4Char"/>
    <w:uiPriority w:val="9"/>
    <w:qFormat/>
    <w:rsid w:val="00FD51BF"/>
    <w:pPr>
      <w:keepNext/>
      <w:numPr>
        <w:ilvl w:val="3"/>
        <w:numId w:val="2"/>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FD51BF"/>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FD51BF"/>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qFormat/>
    <w:rsid w:val="00FD51BF"/>
    <w:pPr>
      <w:numPr>
        <w:ilvl w:val="6"/>
        <w:numId w:val="2"/>
      </w:numPr>
      <w:spacing w:before="240" w:after="60"/>
      <w:outlineLvl w:val="6"/>
    </w:pPr>
    <w:rPr>
      <w:rFonts w:ascii="Calibri" w:hAnsi="Calibri"/>
    </w:rPr>
  </w:style>
  <w:style w:type="paragraph" w:styleId="Nadpis8">
    <w:name w:val="heading 8"/>
    <w:basedOn w:val="Normln"/>
    <w:next w:val="Normln"/>
    <w:link w:val="Nadpis8Char"/>
    <w:qFormat/>
    <w:rsid w:val="00FD51BF"/>
    <w:pPr>
      <w:numPr>
        <w:ilvl w:val="7"/>
        <w:numId w:val="2"/>
      </w:numPr>
      <w:spacing w:before="240" w:after="60"/>
      <w:outlineLvl w:val="7"/>
    </w:pPr>
    <w:rPr>
      <w:rFonts w:ascii="Calibri" w:hAnsi="Calibri"/>
      <w:i/>
      <w:iCs/>
    </w:rPr>
  </w:style>
  <w:style w:type="paragraph" w:styleId="Nadpis9">
    <w:name w:val="heading 9"/>
    <w:basedOn w:val="Normln"/>
    <w:next w:val="Normln"/>
    <w:link w:val="Nadpis9Char"/>
    <w:qFormat/>
    <w:rsid w:val="00FD51BF"/>
    <w:pPr>
      <w:numPr>
        <w:ilvl w:val="8"/>
        <w:numId w:val="2"/>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Pr>
      <w:rFonts w:ascii="Courier New" w:hAnsi="Courier New"/>
      <w:sz w:val="20"/>
      <w:szCs w:val="20"/>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rPr>
      <w:rFonts w:ascii="Tahoma" w:hAnsi="Tahoma" w:cs="Tahoma"/>
      <w:sz w:val="16"/>
      <w:szCs w:val="16"/>
    </w:rPr>
  </w:style>
  <w:style w:type="paragraph" w:styleId="Nzev">
    <w:name w:val="Title"/>
    <w:aliases w:val="Název části"/>
    <w:basedOn w:val="Normln"/>
    <w:link w:val="NzevChar"/>
    <w:uiPriority w:val="10"/>
    <w:qFormat/>
    <w:pPr>
      <w:jc w:val="center"/>
    </w:pPr>
    <w:rPr>
      <w:b/>
      <w:sz w:val="28"/>
      <w:szCs w:val="20"/>
    </w:rPr>
  </w:style>
  <w:style w:type="paragraph" w:styleId="Zkladntext">
    <w:name w:val="Body Text"/>
    <w:basedOn w:val="Normln"/>
    <w:pPr>
      <w:jc w:val="center"/>
    </w:pPr>
    <w:rPr>
      <w:b/>
      <w:bCs/>
      <w:caps/>
    </w:rPr>
  </w:style>
  <w:style w:type="paragraph" w:styleId="Zkladntext2">
    <w:name w:val="Body Text 2"/>
    <w:basedOn w:val="Normln"/>
    <w:pPr>
      <w:jc w:val="center"/>
    </w:pPr>
    <w:rPr>
      <w:b/>
      <w:bCs/>
      <w:i/>
      <w:iCs/>
      <w:caps/>
    </w:rPr>
  </w:style>
  <w:style w:type="table" w:styleId="Mkatabulky">
    <w:name w:val="Table Grid"/>
    <w:basedOn w:val="Normlntabulka"/>
    <w:uiPriority w:val="39"/>
    <w:rsid w:val="004D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7F2D90"/>
    <w:pPr>
      <w:spacing w:before="0" w:after="0"/>
    </w:pPr>
    <w:rPr>
      <w:sz w:val="16"/>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uiPriority w:val="99"/>
    <w:rsid w:val="007F2D90"/>
    <w:rPr>
      <w:sz w:val="16"/>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uiPriority w:val="99"/>
    <w:rsid w:val="00317C47"/>
    <w:rPr>
      <w:vertAlign w:val="superscript"/>
    </w:rPr>
  </w:style>
  <w:style w:type="paragraph" w:customStyle="1" w:styleId="Nzevuradu">
    <w:name w:val="Název uradu"/>
    <w:basedOn w:val="Normln"/>
    <w:link w:val="NzevuraduChar"/>
    <w:qFormat/>
    <w:rsid w:val="00336931"/>
    <w:pPr>
      <w:autoSpaceDE w:val="0"/>
      <w:autoSpaceDN w:val="0"/>
      <w:adjustRightInd w:val="0"/>
      <w:spacing w:before="226" w:line="276" w:lineRule="auto"/>
      <w:ind w:left="369" w:right="369"/>
    </w:pPr>
    <w:rPr>
      <w:rFonts w:ascii="Georgia" w:eastAsia="Calibri" w:hAnsi="Georgia" w:cs="RePublicStd"/>
      <w:lang w:eastAsia="en-US"/>
    </w:rPr>
  </w:style>
  <w:style w:type="paragraph" w:customStyle="1" w:styleId="Adresa">
    <w:name w:val="Adresa"/>
    <w:basedOn w:val="Normln"/>
    <w:link w:val="AdresaChar"/>
    <w:qFormat/>
    <w:rsid w:val="00336931"/>
    <w:pPr>
      <w:autoSpaceDE w:val="0"/>
      <w:autoSpaceDN w:val="0"/>
      <w:adjustRightInd w:val="0"/>
      <w:spacing w:line="276" w:lineRule="auto"/>
      <w:ind w:right="2"/>
    </w:pPr>
    <w:rPr>
      <w:rFonts w:ascii="Georgia" w:eastAsia="Calibri" w:hAnsi="Georgia" w:cs="RePublicStd"/>
      <w:sz w:val="16"/>
      <w:szCs w:val="16"/>
      <w:lang w:eastAsia="en-US"/>
    </w:rPr>
  </w:style>
  <w:style w:type="character" w:customStyle="1" w:styleId="NzevuraduChar">
    <w:name w:val="Název uradu Char"/>
    <w:link w:val="Nzevuradu"/>
    <w:rsid w:val="00336931"/>
    <w:rPr>
      <w:rFonts w:ascii="Georgia" w:eastAsia="Calibri" w:hAnsi="Georgia" w:cs="RePublicStd"/>
      <w:sz w:val="24"/>
      <w:szCs w:val="24"/>
      <w:lang w:val="cs-CZ" w:eastAsia="en-US" w:bidi="ar-SA"/>
    </w:rPr>
  </w:style>
  <w:style w:type="character" w:customStyle="1" w:styleId="AdresaChar">
    <w:name w:val="Adresa Char"/>
    <w:link w:val="Adresa"/>
    <w:rsid w:val="00336931"/>
    <w:rPr>
      <w:rFonts w:ascii="Georgia" w:eastAsia="Calibri" w:hAnsi="Georgia" w:cs="RePublicStd"/>
      <w:sz w:val="16"/>
      <w:szCs w:val="16"/>
      <w:lang w:val="cs-CZ" w:eastAsia="en-US" w:bidi="ar-SA"/>
    </w:rPr>
  </w:style>
  <w:style w:type="character" w:customStyle="1" w:styleId="Nadpis3Char">
    <w:name w:val="Nadpis 3 Char"/>
    <w:link w:val="Nadpis3"/>
    <w:uiPriority w:val="9"/>
    <w:rsid w:val="005A5522"/>
    <w:rPr>
      <w:rFonts w:cs="Arial"/>
      <w:b/>
      <w:bCs/>
      <w:color w:val="1F3864" w:themeColor="accent1" w:themeShade="80"/>
      <w:sz w:val="22"/>
      <w:szCs w:val="26"/>
    </w:rPr>
  </w:style>
  <w:style w:type="character" w:styleId="Odkaznakoment">
    <w:name w:val="annotation reference"/>
    <w:uiPriority w:val="99"/>
    <w:semiHidden/>
    <w:rsid w:val="004134E0"/>
    <w:rPr>
      <w:sz w:val="16"/>
      <w:szCs w:val="16"/>
    </w:rPr>
  </w:style>
  <w:style w:type="paragraph" w:styleId="Textkomente">
    <w:name w:val="annotation text"/>
    <w:basedOn w:val="Normln"/>
    <w:link w:val="TextkomenteChar"/>
    <w:uiPriority w:val="99"/>
    <w:rsid w:val="004134E0"/>
    <w:rPr>
      <w:sz w:val="20"/>
      <w:szCs w:val="20"/>
    </w:rPr>
  </w:style>
  <w:style w:type="paragraph" w:styleId="Pedmtkomente">
    <w:name w:val="annotation subject"/>
    <w:basedOn w:val="Textkomente"/>
    <w:next w:val="Textkomente"/>
    <w:link w:val="PedmtkomenteChar"/>
    <w:uiPriority w:val="99"/>
    <w:semiHidden/>
    <w:rsid w:val="004134E0"/>
    <w:rPr>
      <w:b/>
      <w:bCs/>
    </w:rPr>
  </w:style>
  <w:style w:type="character" w:styleId="Hypertextovodkaz">
    <w:name w:val="Hyperlink"/>
    <w:uiPriority w:val="99"/>
    <w:rsid w:val="00A670EF"/>
    <w:rPr>
      <w:color w:val="0000FF"/>
      <w:u w:val="single"/>
    </w:rPr>
  </w:style>
  <w:style w:type="paragraph" w:styleId="Zhlav">
    <w:name w:val="header"/>
    <w:basedOn w:val="Normln"/>
    <w:link w:val="ZhlavChar"/>
    <w:uiPriority w:val="99"/>
    <w:rsid w:val="00813484"/>
    <w:pPr>
      <w:tabs>
        <w:tab w:val="center" w:pos="4320"/>
        <w:tab w:val="right" w:pos="8640"/>
      </w:tabs>
    </w:pPr>
    <w:rPr>
      <w:szCs w:val="20"/>
      <w:lang w:val="en-US" w:eastAsia="en-US"/>
    </w:rPr>
  </w:style>
  <w:style w:type="character" w:customStyle="1" w:styleId="ZhlavChar">
    <w:name w:val="Záhlaví Char"/>
    <w:link w:val="Zhlav"/>
    <w:uiPriority w:val="99"/>
    <w:rsid w:val="00813484"/>
    <w:rPr>
      <w:sz w:val="24"/>
      <w:lang w:val="en-US" w:eastAsia="en-US"/>
    </w:rPr>
  </w:style>
  <w:style w:type="character" w:customStyle="1" w:styleId="ProsttextChar">
    <w:name w:val="Prostý text Char"/>
    <w:link w:val="Prosttext"/>
    <w:rsid w:val="00136E29"/>
    <w:rPr>
      <w:rFonts w:ascii="Courier New" w:hAnsi="Courier New" w:cs="Courier New"/>
    </w:rPr>
  </w:style>
  <w:style w:type="character" w:customStyle="1" w:styleId="CharChar2">
    <w:name w:val="Char Char2"/>
    <w:locked/>
    <w:rsid w:val="00AB7325"/>
    <w:rPr>
      <w:rFonts w:ascii="Courier New" w:hAnsi="Courier New" w:cs="Courier New"/>
      <w:lang w:val="cs-CZ" w:eastAsia="cs-CZ" w:bidi="ar-SA"/>
    </w:rPr>
  </w:style>
  <w:style w:type="paragraph" w:customStyle="1" w:styleId="Zaznam">
    <w:name w:val="Zaznam"/>
    <w:basedOn w:val="Zhlav"/>
    <w:rsid w:val="001073DE"/>
    <w:pPr>
      <w:tabs>
        <w:tab w:val="clear" w:pos="4320"/>
        <w:tab w:val="clear" w:pos="8640"/>
      </w:tabs>
      <w:spacing w:before="20" w:after="40"/>
    </w:pPr>
    <w:rPr>
      <w:szCs w:val="24"/>
      <w:lang w:val="cs-CZ" w:eastAsia="cs-CZ"/>
    </w:rPr>
  </w:style>
  <w:style w:type="character" w:customStyle="1" w:styleId="PlainTextChar">
    <w:name w:val="Plain Text Char"/>
    <w:locked/>
    <w:rsid w:val="00170BC6"/>
    <w:rPr>
      <w:rFonts w:ascii="Courier New" w:hAnsi="Courier New"/>
    </w:rPr>
  </w:style>
  <w:style w:type="character" w:customStyle="1" w:styleId="Heading3Char">
    <w:name w:val="Heading 3 Char"/>
    <w:locked/>
    <w:rsid w:val="00601310"/>
    <w:rPr>
      <w:rFonts w:ascii="Arial" w:hAnsi="Arial" w:cs="Arial"/>
      <w:b/>
      <w:bCs/>
      <w:sz w:val="26"/>
      <w:szCs w:val="26"/>
      <w:lang w:val="cs-CZ" w:eastAsia="cs-CZ" w:bidi="ar-SA"/>
    </w:rPr>
  </w:style>
  <w:style w:type="character" w:customStyle="1" w:styleId="Nadpis4Char">
    <w:name w:val="Nadpis 4 Char"/>
    <w:link w:val="Nadpis4"/>
    <w:uiPriority w:val="9"/>
    <w:rsid w:val="00FD51BF"/>
    <w:rPr>
      <w:rFonts w:ascii="Calibri" w:hAnsi="Calibri"/>
      <w:b/>
      <w:bCs/>
      <w:sz w:val="28"/>
      <w:szCs w:val="28"/>
    </w:rPr>
  </w:style>
  <w:style w:type="character" w:customStyle="1" w:styleId="Nadpis5Char">
    <w:name w:val="Nadpis 5 Char"/>
    <w:link w:val="Nadpis5"/>
    <w:rsid w:val="00FD51BF"/>
    <w:rPr>
      <w:rFonts w:ascii="Calibri" w:hAnsi="Calibri"/>
      <w:b/>
      <w:bCs/>
      <w:i/>
      <w:iCs/>
      <w:sz w:val="26"/>
      <w:szCs w:val="26"/>
    </w:rPr>
  </w:style>
  <w:style w:type="character" w:customStyle="1" w:styleId="Nadpis6Char">
    <w:name w:val="Nadpis 6 Char"/>
    <w:link w:val="Nadpis6"/>
    <w:rsid w:val="00FD51BF"/>
    <w:rPr>
      <w:rFonts w:ascii="Calibri" w:hAnsi="Calibri"/>
      <w:b/>
      <w:bCs/>
      <w:sz w:val="22"/>
      <w:szCs w:val="22"/>
    </w:rPr>
  </w:style>
  <w:style w:type="character" w:customStyle="1" w:styleId="Nadpis7Char">
    <w:name w:val="Nadpis 7 Char"/>
    <w:link w:val="Nadpis7"/>
    <w:rsid w:val="00FD51BF"/>
    <w:rPr>
      <w:rFonts w:ascii="Calibri" w:hAnsi="Calibri"/>
      <w:sz w:val="22"/>
      <w:szCs w:val="24"/>
    </w:rPr>
  </w:style>
  <w:style w:type="character" w:customStyle="1" w:styleId="Nadpis8Char">
    <w:name w:val="Nadpis 8 Char"/>
    <w:link w:val="Nadpis8"/>
    <w:rsid w:val="00FD51BF"/>
    <w:rPr>
      <w:rFonts w:ascii="Calibri" w:hAnsi="Calibri"/>
      <w:i/>
      <w:iCs/>
      <w:sz w:val="22"/>
      <w:szCs w:val="24"/>
    </w:rPr>
  </w:style>
  <w:style w:type="character" w:customStyle="1" w:styleId="Nadpis9Char">
    <w:name w:val="Nadpis 9 Char"/>
    <w:link w:val="Nadpis9"/>
    <w:rsid w:val="00FD51BF"/>
    <w:rPr>
      <w:rFonts w:ascii="Calibri Light" w:hAnsi="Calibri Light"/>
      <w:sz w:val="22"/>
      <w:szCs w:val="22"/>
    </w:rPr>
  </w:style>
  <w:style w:type="paragraph" w:styleId="Nadpisobsahu">
    <w:name w:val="TOC Heading"/>
    <w:basedOn w:val="Nadpis1"/>
    <w:next w:val="Normln"/>
    <w:uiPriority w:val="39"/>
    <w:qFormat/>
    <w:rsid w:val="00222192"/>
    <w:pPr>
      <w:keepLines/>
      <w:numPr>
        <w:numId w:val="0"/>
      </w:numPr>
      <w:spacing w:after="0" w:line="259" w:lineRule="auto"/>
      <w:outlineLvl w:val="9"/>
    </w:pPr>
    <w:rPr>
      <w:b w:val="0"/>
      <w:bCs w:val="0"/>
      <w:caps w:val="0"/>
      <w:sz w:val="32"/>
      <w:szCs w:val="32"/>
    </w:rPr>
  </w:style>
  <w:style w:type="paragraph" w:styleId="Obsah1">
    <w:name w:val="toc 1"/>
    <w:basedOn w:val="Normln"/>
    <w:next w:val="Normln"/>
    <w:autoRedefine/>
    <w:uiPriority w:val="39"/>
    <w:rsid w:val="00C52BF5"/>
    <w:pPr>
      <w:tabs>
        <w:tab w:val="left" w:pos="284"/>
        <w:tab w:val="left" w:pos="440"/>
        <w:tab w:val="right" w:leader="dot" w:pos="9592"/>
      </w:tabs>
      <w:jc w:val="left"/>
    </w:pPr>
    <w:rPr>
      <w:rFonts w:ascii="Calibri" w:hAnsi="Calibri"/>
      <w:b/>
      <w:bCs/>
      <w:caps/>
      <w:sz w:val="20"/>
      <w:szCs w:val="20"/>
    </w:rPr>
  </w:style>
  <w:style w:type="character" w:customStyle="1" w:styleId="ZpatChar">
    <w:name w:val="Zápatí Char"/>
    <w:link w:val="Zpat"/>
    <w:uiPriority w:val="99"/>
    <w:rsid w:val="006768D3"/>
    <w:rPr>
      <w:sz w:val="24"/>
      <w:szCs w:val="24"/>
    </w:rPr>
  </w:style>
  <w:style w:type="paragraph" w:styleId="Bezmezer">
    <w:name w:val="No Spacing"/>
    <w:link w:val="BezmezerChar"/>
    <w:uiPriority w:val="1"/>
    <w:qFormat/>
    <w:rsid w:val="006768D3"/>
    <w:rPr>
      <w:rFonts w:ascii="Calibri" w:hAnsi="Calibri"/>
      <w:sz w:val="22"/>
      <w:szCs w:val="22"/>
      <w:lang w:eastAsia="en-US"/>
    </w:rPr>
  </w:style>
  <w:style w:type="character" w:customStyle="1" w:styleId="BezmezerChar">
    <w:name w:val="Bez mezer Char"/>
    <w:link w:val="Bezmezer"/>
    <w:uiPriority w:val="1"/>
    <w:rsid w:val="006768D3"/>
    <w:rPr>
      <w:rFonts w:ascii="Calibri" w:hAnsi="Calibri"/>
      <w:sz w:val="22"/>
      <w:szCs w:val="22"/>
      <w:lang w:eastAsia="en-US"/>
    </w:rPr>
  </w:style>
  <w:style w:type="character" w:customStyle="1" w:styleId="TextbublinyChar">
    <w:name w:val="Text bubliny Char"/>
    <w:link w:val="Textbubliny"/>
    <w:uiPriority w:val="99"/>
    <w:semiHidden/>
    <w:rsid w:val="006768D3"/>
    <w:rPr>
      <w:rFonts w:ascii="Tahoma" w:hAnsi="Tahoma" w:cs="Tahoma"/>
      <w:sz w:val="16"/>
      <w:szCs w:val="16"/>
    </w:rPr>
  </w:style>
  <w:style w:type="paragraph" w:customStyle="1" w:styleId="Nadpis1EDREO">
    <w:name w:val="Nadpis 1 EDREO"/>
    <w:basedOn w:val="Normln"/>
    <w:link w:val="Nadpis1EDREOChar"/>
    <w:qFormat/>
    <w:rsid w:val="006768D3"/>
    <w:pPr>
      <w:numPr>
        <w:numId w:val="1"/>
      </w:numPr>
      <w:spacing w:before="240" w:after="240"/>
      <w:ind w:left="3929" w:hanging="357"/>
      <w:jc w:val="right"/>
    </w:pPr>
    <w:rPr>
      <w:rFonts w:ascii="Calibri" w:hAnsi="Calibri"/>
      <w:b/>
      <w:color w:val="006699"/>
      <w:sz w:val="32"/>
      <w:szCs w:val="22"/>
      <w:lang w:val="x-none" w:eastAsia="x-none"/>
    </w:rPr>
  </w:style>
  <w:style w:type="paragraph" w:customStyle="1" w:styleId="Nadpis2EDREO">
    <w:name w:val="Nadpis 2_EDREO"/>
    <w:basedOn w:val="Nadpis1EDREO"/>
    <w:link w:val="Nadpis2EDREOChar"/>
    <w:qFormat/>
    <w:rsid w:val="005C063B"/>
    <w:pPr>
      <w:numPr>
        <w:ilvl w:val="1"/>
      </w:numPr>
      <w:ind w:left="5534" w:hanging="431"/>
    </w:pPr>
    <w:rPr>
      <w:sz w:val="24"/>
    </w:rPr>
  </w:style>
  <w:style w:type="character" w:customStyle="1" w:styleId="Nadpis1EDREOChar">
    <w:name w:val="Nadpis 1 EDREO Char"/>
    <w:link w:val="Nadpis1EDREO"/>
    <w:rsid w:val="006768D3"/>
    <w:rPr>
      <w:rFonts w:ascii="Calibri" w:hAnsi="Calibri"/>
      <w:b/>
      <w:color w:val="006699"/>
      <w:sz w:val="32"/>
      <w:szCs w:val="22"/>
      <w:lang w:val="x-none" w:eastAsia="x-none"/>
    </w:rPr>
  </w:style>
  <w:style w:type="paragraph" w:customStyle="1" w:styleId="Nadpis3EDREO">
    <w:name w:val="Nadpis3_EDREO"/>
    <w:basedOn w:val="Nadpis1EDREO"/>
    <w:link w:val="Nadpis3EDREOChar"/>
    <w:qFormat/>
    <w:rsid w:val="006768D3"/>
    <w:pPr>
      <w:numPr>
        <w:ilvl w:val="2"/>
      </w:numPr>
      <w:ind w:left="1225" w:hanging="505"/>
    </w:pPr>
    <w:rPr>
      <w:sz w:val="24"/>
    </w:rPr>
  </w:style>
  <w:style w:type="character" w:customStyle="1" w:styleId="Nadpis2EDREOChar">
    <w:name w:val="Nadpis 2_EDREO Char"/>
    <w:link w:val="Nadpis2EDREO"/>
    <w:rsid w:val="005C063B"/>
    <w:rPr>
      <w:rFonts w:ascii="Calibri" w:hAnsi="Calibri"/>
      <w:b/>
      <w:color w:val="006699"/>
      <w:sz w:val="24"/>
      <w:szCs w:val="22"/>
      <w:lang w:val="x-none" w:eastAsia="x-none"/>
    </w:rPr>
  </w:style>
  <w:style w:type="character" w:customStyle="1" w:styleId="Nadpis3EDREOChar">
    <w:name w:val="Nadpis3_EDREO Char"/>
    <w:link w:val="Nadpis3EDREO"/>
    <w:rsid w:val="006768D3"/>
    <w:rPr>
      <w:rFonts w:ascii="Calibri" w:hAnsi="Calibri"/>
      <w:b/>
      <w:color w:val="006699"/>
      <w:sz w:val="24"/>
      <w:szCs w:val="22"/>
      <w:lang w:val="x-none" w:eastAsia="x-none"/>
    </w:rPr>
  </w:style>
  <w:style w:type="character" w:customStyle="1" w:styleId="NzevChar">
    <w:name w:val="Název Char"/>
    <w:aliases w:val="Název části Char"/>
    <w:link w:val="Nzev"/>
    <w:uiPriority w:val="10"/>
    <w:rsid w:val="006768D3"/>
    <w:rPr>
      <w:b/>
      <w:sz w:val="28"/>
    </w:rPr>
  </w:style>
  <w:style w:type="paragraph" w:customStyle="1" w:styleId="a">
    <w:basedOn w:val="Normln"/>
    <w:next w:val="Normln"/>
    <w:uiPriority w:val="29"/>
    <w:qFormat/>
    <w:rsid w:val="00F34244"/>
    <w:rPr>
      <w:rFonts w:ascii="Calibri" w:hAnsi="Calibri"/>
      <w:i/>
      <w:iCs/>
      <w:color w:val="000000"/>
      <w:szCs w:val="22"/>
      <w:lang w:val="x-none" w:eastAsia="x-none"/>
    </w:rPr>
  </w:style>
  <w:style w:type="character" w:customStyle="1" w:styleId="PodtitulChar">
    <w:name w:val="Podtitul Char"/>
    <w:link w:val="Podtitul"/>
    <w:uiPriority w:val="11"/>
    <w:rsid w:val="006768D3"/>
    <w:rPr>
      <w:rFonts w:ascii="Cambria" w:eastAsia="Times New Roman" w:hAnsi="Cambria" w:cs="Times New Roman"/>
      <w:sz w:val="24"/>
      <w:szCs w:val="24"/>
    </w:rPr>
  </w:style>
  <w:style w:type="paragraph" w:styleId="Obsah2">
    <w:name w:val="toc 2"/>
    <w:basedOn w:val="Normln"/>
    <w:next w:val="Normln"/>
    <w:autoRedefine/>
    <w:uiPriority w:val="39"/>
    <w:unhideWhenUsed/>
    <w:rsid w:val="006768D3"/>
    <w:pPr>
      <w:spacing w:before="0" w:after="0"/>
      <w:ind w:left="220"/>
      <w:jc w:val="left"/>
    </w:pPr>
    <w:rPr>
      <w:rFonts w:ascii="Calibri" w:hAnsi="Calibri"/>
      <w:smallCaps/>
      <w:sz w:val="20"/>
      <w:szCs w:val="20"/>
    </w:rPr>
  </w:style>
  <w:style w:type="paragraph" w:styleId="Obsah3">
    <w:name w:val="toc 3"/>
    <w:basedOn w:val="Normln"/>
    <w:next w:val="Normln"/>
    <w:autoRedefine/>
    <w:uiPriority w:val="39"/>
    <w:unhideWhenUsed/>
    <w:rsid w:val="006768D3"/>
    <w:pPr>
      <w:spacing w:before="0" w:after="0"/>
      <w:ind w:left="440"/>
      <w:jc w:val="left"/>
    </w:pPr>
    <w:rPr>
      <w:rFonts w:ascii="Calibri" w:hAnsi="Calibri"/>
      <w:i/>
      <w:iCs/>
      <w:sz w:val="20"/>
      <w:szCs w:val="20"/>
    </w:rPr>
  </w:style>
  <w:style w:type="paragraph" w:styleId="Obsah4">
    <w:name w:val="toc 4"/>
    <w:basedOn w:val="Normln"/>
    <w:next w:val="Normln"/>
    <w:autoRedefine/>
    <w:uiPriority w:val="39"/>
    <w:unhideWhenUsed/>
    <w:rsid w:val="006768D3"/>
    <w:pPr>
      <w:spacing w:before="0" w:after="0"/>
      <w:ind w:left="660"/>
      <w:jc w:val="left"/>
    </w:pPr>
    <w:rPr>
      <w:rFonts w:ascii="Calibri" w:hAnsi="Calibri"/>
      <w:sz w:val="18"/>
      <w:szCs w:val="18"/>
    </w:rPr>
  </w:style>
  <w:style w:type="paragraph" w:styleId="Obsah5">
    <w:name w:val="toc 5"/>
    <w:basedOn w:val="Normln"/>
    <w:next w:val="Normln"/>
    <w:autoRedefine/>
    <w:uiPriority w:val="39"/>
    <w:unhideWhenUsed/>
    <w:rsid w:val="006768D3"/>
    <w:pPr>
      <w:spacing w:before="0" w:after="0"/>
      <w:ind w:left="880"/>
      <w:jc w:val="left"/>
    </w:pPr>
    <w:rPr>
      <w:rFonts w:ascii="Calibri" w:hAnsi="Calibri"/>
      <w:sz w:val="18"/>
      <w:szCs w:val="18"/>
    </w:rPr>
  </w:style>
  <w:style w:type="paragraph" w:styleId="Obsah6">
    <w:name w:val="toc 6"/>
    <w:basedOn w:val="Normln"/>
    <w:next w:val="Normln"/>
    <w:autoRedefine/>
    <w:uiPriority w:val="39"/>
    <w:unhideWhenUsed/>
    <w:rsid w:val="006768D3"/>
    <w:pPr>
      <w:spacing w:before="0" w:after="0"/>
      <w:ind w:left="1100"/>
      <w:jc w:val="left"/>
    </w:pPr>
    <w:rPr>
      <w:rFonts w:ascii="Calibri" w:hAnsi="Calibri"/>
      <w:sz w:val="18"/>
      <w:szCs w:val="18"/>
    </w:rPr>
  </w:style>
  <w:style w:type="paragraph" w:styleId="Obsah7">
    <w:name w:val="toc 7"/>
    <w:basedOn w:val="Normln"/>
    <w:next w:val="Normln"/>
    <w:autoRedefine/>
    <w:uiPriority w:val="39"/>
    <w:unhideWhenUsed/>
    <w:rsid w:val="006768D3"/>
    <w:pPr>
      <w:spacing w:before="0" w:after="0"/>
      <w:ind w:left="1320"/>
      <w:jc w:val="left"/>
    </w:pPr>
    <w:rPr>
      <w:rFonts w:ascii="Calibri" w:hAnsi="Calibri"/>
      <w:sz w:val="18"/>
      <w:szCs w:val="18"/>
    </w:rPr>
  </w:style>
  <w:style w:type="paragraph" w:styleId="Obsah8">
    <w:name w:val="toc 8"/>
    <w:basedOn w:val="Normln"/>
    <w:next w:val="Normln"/>
    <w:autoRedefine/>
    <w:uiPriority w:val="39"/>
    <w:unhideWhenUsed/>
    <w:rsid w:val="006768D3"/>
    <w:pPr>
      <w:spacing w:before="0" w:after="0"/>
      <w:ind w:left="1540"/>
      <w:jc w:val="left"/>
    </w:pPr>
    <w:rPr>
      <w:rFonts w:ascii="Calibri" w:hAnsi="Calibri"/>
      <w:sz w:val="18"/>
      <w:szCs w:val="18"/>
    </w:rPr>
  </w:style>
  <w:style w:type="paragraph" w:styleId="Obsah9">
    <w:name w:val="toc 9"/>
    <w:basedOn w:val="Normln"/>
    <w:next w:val="Normln"/>
    <w:autoRedefine/>
    <w:uiPriority w:val="39"/>
    <w:unhideWhenUsed/>
    <w:rsid w:val="006768D3"/>
    <w:pPr>
      <w:spacing w:before="0" w:after="0"/>
      <w:ind w:left="1760"/>
      <w:jc w:val="left"/>
    </w:pPr>
    <w:rPr>
      <w:rFonts w:ascii="Calibri" w:hAnsi="Calibri"/>
      <w:sz w:val="18"/>
      <w:szCs w:val="18"/>
    </w:rPr>
  </w:style>
  <w:style w:type="character" w:customStyle="1" w:styleId="Nadpis1Char">
    <w:name w:val="Nadpis 1 Char"/>
    <w:link w:val="Nadpis1"/>
    <w:uiPriority w:val="9"/>
    <w:rsid w:val="005A5522"/>
    <w:rPr>
      <w:b/>
      <w:bCs/>
      <w:caps/>
      <w:color w:val="2F5496" w:themeColor="accent1" w:themeShade="BF"/>
      <w:sz w:val="28"/>
      <w:szCs w:val="24"/>
    </w:rPr>
  </w:style>
  <w:style w:type="character" w:customStyle="1" w:styleId="Nadpis2Char">
    <w:name w:val="Nadpis 2 Char"/>
    <w:link w:val="Nadpis2"/>
    <w:uiPriority w:val="9"/>
    <w:rsid w:val="00DA7E0D"/>
    <w:rPr>
      <w:rFonts w:cs="Arial"/>
      <w:b/>
      <w:bCs/>
      <w:i/>
      <w:iCs/>
      <w:color w:val="2F5496" w:themeColor="accent1" w:themeShade="BF"/>
      <w:sz w:val="24"/>
      <w:szCs w:val="28"/>
    </w:rPr>
  </w:style>
  <w:style w:type="paragraph" w:styleId="Odstavecseseznamem">
    <w:name w:val="List Paragraph"/>
    <w:basedOn w:val="Normln"/>
    <w:uiPriority w:val="34"/>
    <w:qFormat/>
    <w:rsid w:val="0071671C"/>
    <w:pPr>
      <w:ind w:left="708"/>
    </w:pPr>
    <w:rPr>
      <w:szCs w:val="22"/>
    </w:rPr>
  </w:style>
  <w:style w:type="character" w:customStyle="1" w:styleId="TextkomenteChar">
    <w:name w:val="Text komentáře Char"/>
    <w:link w:val="Textkomente"/>
    <w:uiPriority w:val="99"/>
    <w:rsid w:val="006768D3"/>
  </w:style>
  <w:style w:type="character" w:customStyle="1" w:styleId="PedmtkomenteChar">
    <w:name w:val="Předmět komentáře Char"/>
    <w:link w:val="Pedmtkomente"/>
    <w:uiPriority w:val="99"/>
    <w:semiHidden/>
    <w:rsid w:val="006768D3"/>
    <w:rPr>
      <w:b/>
      <w:bCs/>
    </w:rPr>
  </w:style>
  <w:style w:type="table" w:styleId="Stednmka2zvraznn6">
    <w:name w:val="Medium Grid 2 Accent 6"/>
    <w:basedOn w:val="Normlntabulka"/>
    <w:uiPriority w:val="68"/>
    <w:rsid w:val="00676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Sledovanodkaz">
    <w:name w:val="FollowedHyperlink"/>
    <w:uiPriority w:val="99"/>
    <w:unhideWhenUsed/>
    <w:rsid w:val="006768D3"/>
    <w:rPr>
      <w:color w:val="954F72"/>
      <w:u w:val="single"/>
    </w:rPr>
  </w:style>
  <w:style w:type="paragraph" w:styleId="Normlnweb">
    <w:name w:val="Normal (Web)"/>
    <w:basedOn w:val="Normln"/>
    <w:uiPriority w:val="99"/>
    <w:unhideWhenUsed/>
    <w:rsid w:val="006768D3"/>
    <w:pPr>
      <w:spacing w:before="100" w:beforeAutospacing="1" w:after="100" w:afterAutospacing="1"/>
    </w:pPr>
  </w:style>
  <w:style w:type="character" w:styleId="Nevyeenzmnka">
    <w:name w:val="Unresolved Mention"/>
    <w:uiPriority w:val="99"/>
    <w:semiHidden/>
    <w:unhideWhenUsed/>
    <w:rsid w:val="006768D3"/>
    <w:rPr>
      <w:color w:val="808080"/>
      <w:shd w:val="clear" w:color="auto" w:fill="E6E6E6"/>
    </w:rPr>
  </w:style>
  <w:style w:type="paragraph" w:customStyle="1" w:styleId="OBRZEKTABULKANADPIS">
    <w:name w:val="OBRÁZEK_TABULKA_NADPIS"/>
    <w:next w:val="Textkomente"/>
    <w:link w:val="OBRZEKTABULKANADPISChar"/>
    <w:qFormat/>
    <w:rsid w:val="006768D3"/>
    <w:pPr>
      <w:pBdr>
        <w:top w:val="single" w:sz="8" w:space="1" w:color="A5A5A5"/>
      </w:pBdr>
      <w:shd w:val="clear" w:color="auto" w:fill="FFFFFF"/>
      <w:spacing w:after="20"/>
      <w:ind w:left="-1247"/>
    </w:pPr>
    <w:rPr>
      <w:rFonts w:ascii="Calibri Light" w:eastAsia="STKaiti" w:hAnsi="Calibri Light"/>
      <w:b/>
      <w:iCs/>
      <w:color w:val="1F4E79"/>
      <w:szCs w:val="21"/>
      <w:lang w:val="en-US" w:eastAsia="ja-JP"/>
    </w:rPr>
  </w:style>
  <w:style w:type="paragraph" w:customStyle="1" w:styleId="LEGENDAPODTABULKOU">
    <w:name w:val="LEGENDA POD TABULKOU"/>
    <w:basedOn w:val="OBRZEKTABULKANADPIS"/>
    <w:link w:val="LEGENDAPODTABULKOUChar"/>
    <w:qFormat/>
    <w:rsid w:val="006768D3"/>
    <w:pPr>
      <w:pBdr>
        <w:top w:val="none" w:sz="0" w:space="0" w:color="auto"/>
      </w:pBdr>
      <w:spacing w:after="40"/>
    </w:pPr>
    <w:rPr>
      <w:b w:val="0"/>
      <w:i/>
      <w:smallCaps/>
      <w:color w:val="595959"/>
      <w:sz w:val="18"/>
    </w:rPr>
  </w:style>
  <w:style w:type="character" w:customStyle="1" w:styleId="OBRZEKTABULKANADPISChar">
    <w:name w:val="OBRÁZEK_TABULKA_NADPIS Char"/>
    <w:link w:val="OBRZEKTABULKANADPIS"/>
    <w:rsid w:val="006768D3"/>
    <w:rPr>
      <w:rFonts w:ascii="Calibri Light" w:eastAsia="STKaiti" w:hAnsi="Calibri Light"/>
      <w:b/>
      <w:iCs/>
      <w:color w:val="1F4E79"/>
      <w:szCs w:val="21"/>
      <w:shd w:val="clear" w:color="auto" w:fill="FFFFFF"/>
      <w:lang w:val="en-US" w:eastAsia="ja-JP"/>
    </w:rPr>
  </w:style>
  <w:style w:type="character" w:customStyle="1" w:styleId="LEGENDAPODTABULKOUChar">
    <w:name w:val="LEGENDA POD TABULKOU Char"/>
    <w:link w:val="LEGENDAPODTABULKOU"/>
    <w:rsid w:val="006768D3"/>
    <w:rPr>
      <w:rFonts w:ascii="Calibri Light" w:eastAsia="STKaiti" w:hAnsi="Calibri Light"/>
      <w:i/>
      <w:iCs/>
      <w:smallCaps/>
      <w:color w:val="595959"/>
      <w:sz w:val="18"/>
      <w:szCs w:val="21"/>
      <w:shd w:val="clear" w:color="auto" w:fill="FFFFFF"/>
      <w:lang w:val="en-US" w:eastAsia="ja-JP"/>
    </w:rPr>
  </w:style>
  <w:style w:type="paragraph" w:customStyle="1" w:styleId="TEXTUVNITTABULKY">
    <w:name w:val="TEXT UVNITŘ TABULKY"/>
    <w:basedOn w:val="Normln"/>
    <w:link w:val="TEXTUVNITTABULKYChar"/>
    <w:qFormat/>
    <w:rsid w:val="006768D3"/>
    <w:pPr>
      <w:spacing w:before="40" w:after="40"/>
    </w:pPr>
    <w:rPr>
      <w:rFonts w:ascii="Calibri Light" w:eastAsia="STKaiti" w:hAnsi="Calibri Light"/>
      <w:smallCaps/>
      <w:color w:val="000000"/>
      <w:sz w:val="16"/>
      <w:szCs w:val="21"/>
      <w:lang w:val="en-US" w:eastAsia="ja-JP"/>
    </w:rPr>
  </w:style>
  <w:style w:type="character" w:customStyle="1" w:styleId="TEXTUVNITTABULKYChar">
    <w:name w:val="TEXT UVNITŘ TABULKY Char"/>
    <w:link w:val="TEXTUVNITTABULKY"/>
    <w:rsid w:val="006768D3"/>
    <w:rPr>
      <w:rFonts w:ascii="Calibri Light" w:eastAsia="STKaiti" w:hAnsi="Calibri Light"/>
      <w:smallCaps/>
      <w:color w:val="000000"/>
      <w:sz w:val="16"/>
      <w:szCs w:val="21"/>
      <w:lang w:val="en-US" w:eastAsia="ja-JP"/>
    </w:rPr>
  </w:style>
  <w:style w:type="character" w:customStyle="1" w:styleId="CittChar1">
    <w:name w:val="Citát Char1"/>
    <w:link w:val="Citt"/>
    <w:uiPriority w:val="29"/>
    <w:rsid w:val="006768D3"/>
    <w:rPr>
      <w:rFonts w:eastAsia="Times New Roman"/>
      <w:i/>
      <w:iCs/>
      <w:color w:val="000000"/>
      <w:sz w:val="22"/>
      <w:szCs w:val="22"/>
    </w:rPr>
  </w:style>
  <w:style w:type="paragraph" w:customStyle="1" w:styleId="Eaoaeaa">
    <w:name w:val="Eaoae?aa"/>
    <w:basedOn w:val="Normln"/>
    <w:rsid w:val="006768D3"/>
    <w:pPr>
      <w:widowControl w:val="0"/>
      <w:tabs>
        <w:tab w:val="center" w:pos="4153"/>
        <w:tab w:val="right" w:pos="8306"/>
      </w:tabs>
    </w:pPr>
    <w:rPr>
      <w:sz w:val="20"/>
      <w:szCs w:val="20"/>
      <w:lang w:val="en-US"/>
    </w:rPr>
  </w:style>
  <w:style w:type="paragraph" w:styleId="Titulek">
    <w:name w:val="caption"/>
    <w:basedOn w:val="Normln"/>
    <w:next w:val="Normln"/>
    <w:uiPriority w:val="35"/>
    <w:qFormat/>
    <w:rsid w:val="009E7CB7"/>
    <w:pPr>
      <w:keepNext/>
      <w:spacing w:after="60"/>
    </w:pPr>
    <w:rPr>
      <w:b/>
      <w:bCs/>
      <w:szCs w:val="20"/>
    </w:rPr>
  </w:style>
  <w:style w:type="character" w:styleId="Siln">
    <w:name w:val="Strong"/>
    <w:uiPriority w:val="22"/>
    <w:qFormat/>
    <w:rsid w:val="006768D3"/>
    <w:rPr>
      <w:b/>
      <w:bCs/>
    </w:rPr>
  </w:style>
  <w:style w:type="character" w:customStyle="1" w:styleId="ff1">
    <w:name w:val="ff1"/>
    <w:rsid w:val="006768D3"/>
  </w:style>
  <w:style w:type="paragraph" w:customStyle="1" w:styleId="Default">
    <w:name w:val="Default"/>
    <w:rsid w:val="006768D3"/>
    <w:pPr>
      <w:autoSpaceDE w:val="0"/>
      <w:autoSpaceDN w:val="0"/>
      <w:adjustRightInd w:val="0"/>
    </w:pPr>
    <w:rPr>
      <w:rFonts w:ascii="Calibri" w:eastAsia="Calibri" w:hAnsi="Calibri" w:cs="Calibri"/>
      <w:color w:val="000000"/>
      <w:sz w:val="24"/>
      <w:szCs w:val="24"/>
    </w:rPr>
  </w:style>
  <w:style w:type="character" w:customStyle="1" w:styleId="hps">
    <w:name w:val="hps"/>
    <w:rsid w:val="006768D3"/>
  </w:style>
  <w:style w:type="character" w:customStyle="1" w:styleId="longtext">
    <w:name w:val="long_text"/>
    <w:rsid w:val="006768D3"/>
  </w:style>
  <w:style w:type="paragraph" w:customStyle="1" w:styleId="Podtitul">
    <w:name w:val="Podtitul"/>
    <w:basedOn w:val="Normln"/>
    <w:next w:val="Normln"/>
    <w:link w:val="PodtitulChar"/>
    <w:uiPriority w:val="11"/>
    <w:qFormat/>
    <w:rsid w:val="006768D3"/>
    <w:pPr>
      <w:spacing w:after="60"/>
      <w:jc w:val="center"/>
      <w:outlineLvl w:val="1"/>
    </w:pPr>
    <w:rPr>
      <w:rFonts w:ascii="Cambria" w:hAnsi="Cambria"/>
    </w:rPr>
  </w:style>
  <w:style w:type="character" w:customStyle="1" w:styleId="PodnadpisChar">
    <w:name w:val="Podnadpis Char"/>
    <w:rsid w:val="006768D3"/>
    <w:rPr>
      <w:rFonts w:ascii="Calibri Light" w:eastAsia="Times New Roman" w:hAnsi="Calibri Light" w:cs="Times New Roman"/>
      <w:sz w:val="24"/>
      <w:szCs w:val="24"/>
    </w:rPr>
  </w:style>
  <w:style w:type="paragraph" w:styleId="Citt">
    <w:name w:val="Quote"/>
    <w:basedOn w:val="Normln"/>
    <w:next w:val="Normln"/>
    <w:link w:val="CittChar1"/>
    <w:uiPriority w:val="29"/>
    <w:qFormat/>
    <w:rsid w:val="006768D3"/>
    <w:pPr>
      <w:spacing w:before="200" w:after="160"/>
      <w:ind w:left="864" w:right="864"/>
      <w:jc w:val="center"/>
    </w:pPr>
    <w:rPr>
      <w:i/>
      <w:iCs/>
      <w:color w:val="000000"/>
      <w:szCs w:val="22"/>
    </w:rPr>
  </w:style>
  <w:style w:type="character" w:customStyle="1" w:styleId="CittChar">
    <w:name w:val="Citát Char"/>
    <w:uiPriority w:val="29"/>
    <w:rsid w:val="006768D3"/>
    <w:rPr>
      <w:i/>
      <w:iCs/>
      <w:color w:val="404040"/>
      <w:sz w:val="24"/>
      <w:szCs w:val="24"/>
    </w:rPr>
  </w:style>
  <w:style w:type="paragraph" w:customStyle="1" w:styleId="Tabulka">
    <w:name w:val="Tabulka"/>
    <w:basedOn w:val="Normln"/>
    <w:link w:val="TabulkaChar"/>
    <w:qFormat/>
    <w:rsid w:val="007A3983"/>
    <w:pPr>
      <w:spacing w:before="0" w:after="0"/>
      <w:jc w:val="left"/>
    </w:pPr>
    <w:rPr>
      <w:szCs w:val="22"/>
    </w:rPr>
  </w:style>
  <w:style w:type="table" w:styleId="Mkatabulky1">
    <w:name w:val="Table Grid 1"/>
    <w:basedOn w:val="Normlntabulka"/>
    <w:rsid w:val="00F34244"/>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ulkaChar">
    <w:name w:val="Tabulka Char"/>
    <w:link w:val="Tabulka"/>
    <w:rsid w:val="007A3983"/>
    <w:rPr>
      <w:sz w:val="22"/>
      <w:szCs w:val="22"/>
    </w:rPr>
  </w:style>
  <w:style w:type="paragraph" w:customStyle="1" w:styleId="Zdrojpodtabulky">
    <w:name w:val="Zdroj pod tabulky"/>
    <w:basedOn w:val="Normln"/>
    <w:link w:val="ZdrojpodtabulkyChar"/>
    <w:qFormat/>
    <w:rsid w:val="00B5405F"/>
    <w:pPr>
      <w:spacing w:before="0" w:after="160"/>
      <w:textboxTightWrap w:val="firstAndLastLine"/>
    </w:pPr>
    <w:rPr>
      <w:rFonts w:eastAsia="Calibri"/>
      <w:sz w:val="18"/>
      <w:szCs w:val="20"/>
      <w:lang w:eastAsia="en-US"/>
    </w:rPr>
  </w:style>
  <w:style w:type="table" w:styleId="Svtltabulkasmkou1zvraznn1">
    <w:name w:val="Grid Table 1 Light Accent 1"/>
    <w:basedOn w:val="Normlntabulka"/>
    <w:uiPriority w:val="46"/>
    <w:rsid w:val="003775CB"/>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drojpodtabulkyChar">
    <w:name w:val="Zdroj pod tabulky Char"/>
    <w:link w:val="Zdrojpodtabulky"/>
    <w:rsid w:val="00B5405F"/>
    <w:rPr>
      <w:rFonts w:eastAsia="Calibri"/>
      <w:sz w:val="18"/>
      <w:lang w:eastAsia="en-US"/>
    </w:rPr>
  </w:style>
  <w:style w:type="paragraph" w:customStyle="1" w:styleId="zjitn">
    <w:name w:val="zjištění"/>
    <w:basedOn w:val="Normln"/>
    <w:link w:val="zjitnChar"/>
    <w:qFormat/>
    <w:rsid w:val="0084331E"/>
    <w:pPr>
      <w:numPr>
        <w:numId w:val="3"/>
      </w:numPr>
      <w:spacing w:before="20" w:after="0"/>
    </w:pPr>
  </w:style>
  <w:style w:type="character" w:customStyle="1" w:styleId="zjitnChar">
    <w:name w:val="zjištění Char"/>
    <w:link w:val="zjitn"/>
    <w:rsid w:val="0084331E"/>
    <w:rPr>
      <w:sz w:val="22"/>
      <w:szCs w:val="24"/>
    </w:rPr>
  </w:style>
  <w:style w:type="paragraph" w:customStyle="1" w:styleId="Poznmkapodarou">
    <w:name w:val="Poznámka pod čarou"/>
    <w:basedOn w:val="Normln"/>
    <w:link w:val="PoznmkapodarouChar"/>
    <w:qFormat/>
    <w:rsid w:val="00DC32B8"/>
    <w:pPr>
      <w:spacing w:before="0" w:after="60"/>
    </w:pPr>
    <w:rPr>
      <w:color w:val="000000"/>
      <w:sz w:val="16"/>
      <w:szCs w:val="20"/>
    </w:rPr>
  </w:style>
  <w:style w:type="character" w:customStyle="1" w:styleId="PoznmkapodarouChar">
    <w:name w:val="Poznámka pod čarou Char"/>
    <w:link w:val="Poznmkapodarou"/>
    <w:locked/>
    <w:rsid w:val="00DC32B8"/>
    <w:rPr>
      <w:color w:val="000000"/>
      <w:sz w:val="16"/>
    </w:rPr>
  </w:style>
  <w:style w:type="character" w:customStyle="1" w:styleId="CitaceChar">
    <w:name w:val="Citace Char"/>
    <w:uiPriority w:val="29"/>
    <w:rsid w:val="00B5405F"/>
    <w:rPr>
      <w:rFonts w:eastAsia="Times New Roman"/>
      <w:i/>
      <w:iCs/>
      <w:color w:val="000000"/>
      <w:sz w:val="22"/>
      <w:szCs w:val="22"/>
    </w:rPr>
  </w:style>
  <w:style w:type="character" w:customStyle="1" w:styleId="normaltextrun">
    <w:name w:val="normaltextrun"/>
    <w:rsid w:val="00B5405F"/>
  </w:style>
  <w:style w:type="character" w:customStyle="1" w:styleId="eop">
    <w:name w:val="eop"/>
    <w:rsid w:val="00B5405F"/>
  </w:style>
  <w:style w:type="character" w:customStyle="1" w:styleId="spellingerror">
    <w:name w:val="spellingerror"/>
    <w:rsid w:val="00B5405F"/>
  </w:style>
  <w:style w:type="paragraph" w:styleId="Seznamobrzk">
    <w:name w:val="table of figures"/>
    <w:basedOn w:val="Normln"/>
    <w:next w:val="Normln"/>
    <w:uiPriority w:val="99"/>
    <w:rsid w:val="001677EE"/>
  </w:style>
  <w:style w:type="paragraph" w:styleId="Revize">
    <w:name w:val="Revision"/>
    <w:hidden/>
    <w:uiPriority w:val="99"/>
    <w:semiHidden/>
    <w:rsid w:val="00394548"/>
    <w:rPr>
      <w:sz w:val="22"/>
      <w:szCs w:val="24"/>
    </w:rPr>
  </w:style>
  <w:style w:type="character" w:customStyle="1" w:styleId="jlqj4b">
    <w:name w:val="jlqj4b"/>
    <w:basedOn w:val="Standardnpsmoodstavce"/>
    <w:rsid w:val="00455256"/>
  </w:style>
  <w:style w:type="paragraph" w:customStyle="1" w:styleId="Zdrojpodtabulkou">
    <w:name w:val="Zdroj pod tabulkou"/>
    <w:basedOn w:val="Normln"/>
    <w:link w:val="ZdrojpodtabulkouChar"/>
    <w:uiPriority w:val="99"/>
    <w:rsid w:val="00F93482"/>
    <w:pPr>
      <w:keepLines/>
      <w:spacing w:before="0" w:after="0"/>
    </w:pPr>
    <w:rPr>
      <w:sz w:val="18"/>
      <w:szCs w:val="18"/>
    </w:rPr>
  </w:style>
  <w:style w:type="character" w:customStyle="1" w:styleId="ZdrojpodtabulkouChar">
    <w:name w:val="Zdroj pod tabulkou Char"/>
    <w:link w:val="Zdrojpodtabulkou"/>
    <w:uiPriority w:val="99"/>
    <w:locked/>
    <w:rsid w:val="00F93482"/>
    <w:rPr>
      <w:sz w:val="18"/>
      <w:szCs w:val="18"/>
    </w:rPr>
  </w:style>
  <w:style w:type="paragraph" w:styleId="Vrazncitt">
    <w:name w:val="Intense Quote"/>
    <w:basedOn w:val="Normln"/>
    <w:next w:val="Normln"/>
    <w:link w:val="VrazncittChar"/>
    <w:uiPriority w:val="30"/>
    <w:qFormat/>
    <w:rsid w:val="00DA7E0D"/>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Cs w:val="22"/>
      <w:lang w:val="en-US" w:eastAsia="en-US"/>
    </w:rPr>
  </w:style>
  <w:style w:type="character" w:customStyle="1" w:styleId="VrazncittChar">
    <w:name w:val="Výrazný citát Char"/>
    <w:basedOn w:val="Standardnpsmoodstavce"/>
    <w:link w:val="Vrazncitt"/>
    <w:uiPriority w:val="30"/>
    <w:rsid w:val="00DA7E0D"/>
    <w:rPr>
      <w:rFonts w:asciiTheme="minorHAnsi" w:eastAsiaTheme="minorHAnsi" w:hAnsiTheme="minorHAnsi" w:cstheme="minorBidi"/>
      <w:i/>
      <w:iCs/>
      <w:color w:val="4472C4" w:themeColor="accent1"/>
      <w:sz w:val="22"/>
      <w:szCs w:val="22"/>
      <w:lang w:val="en-US" w:eastAsia="en-US"/>
    </w:rPr>
  </w:style>
  <w:style w:type="paragraph" w:customStyle="1" w:styleId="Nadpis2ZZ">
    <w:name w:val="Nadpis 2 ZZ"/>
    <w:basedOn w:val="Nadpis1"/>
    <w:link w:val="Nadpis2ZZChar"/>
    <w:qFormat/>
    <w:rsid w:val="00DA7E0D"/>
    <w:pPr>
      <w:keepLines/>
      <w:numPr>
        <w:numId w:val="15"/>
      </w:numPr>
      <w:spacing w:before="160" w:after="160" w:line="259" w:lineRule="auto"/>
      <w:jc w:val="left"/>
    </w:pPr>
    <w:rPr>
      <w:rFonts w:cstheme="majorBidi"/>
      <w:bCs w:val="0"/>
      <w:caps w:val="0"/>
      <w:sz w:val="22"/>
      <w:szCs w:val="32"/>
    </w:rPr>
  </w:style>
  <w:style w:type="character" w:customStyle="1" w:styleId="Nadpis2ZZChar">
    <w:name w:val="Nadpis 2 ZZ Char"/>
    <w:basedOn w:val="Nadpis1Char"/>
    <w:link w:val="Nadpis2ZZ"/>
    <w:rsid w:val="00DA7E0D"/>
    <w:rPr>
      <w:rFonts w:cstheme="majorBidi"/>
      <w:b/>
      <w:bCs w:val="0"/>
      <w:caps w:val="0"/>
      <w:color w:val="2F5496" w:themeColor="accent1" w:themeShade="BF"/>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7466">
      <w:bodyDiv w:val="1"/>
      <w:marLeft w:val="0"/>
      <w:marRight w:val="0"/>
      <w:marTop w:val="0"/>
      <w:marBottom w:val="0"/>
      <w:divBdr>
        <w:top w:val="none" w:sz="0" w:space="0" w:color="auto"/>
        <w:left w:val="none" w:sz="0" w:space="0" w:color="auto"/>
        <w:bottom w:val="none" w:sz="0" w:space="0" w:color="auto"/>
        <w:right w:val="none" w:sz="0" w:space="0" w:color="auto"/>
      </w:divBdr>
    </w:div>
    <w:div w:id="726270660">
      <w:bodyDiv w:val="1"/>
      <w:marLeft w:val="0"/>
      <w:marRight w:val="0"/>
      <w:marTop w:val="0"/>
      <w:marBottom w:val="0"/>
      <w:divBdr>
        <w:top w:val="none" w:sz="0" w:space="0" w:color="auto"/>
        <w:left w:val="none" w:sz="0" w:space="0" w:color="auto"/>
        <w:bottom w:val="none" w:sz="0" w:space="0" w:color="auto"/>
        <w:right w:val="none" w:sz="0" w:space="0" w:color="auto"/>
      </w:divBdr>
    </w:div>
    <w:div w:id="827938251">
      <w:bodyDiv w:val="1"/>
      <w:marLeft w:val="0"/>
      <w:marRight w:val="0"/>
      <w:marTop w:val="0"/>
      <w:marBottom w:val="0"/>
      <w:divBdr>
        <w:top w:val="none" w:sz="0" w:space="0" w:color="auto"/>
        <w:left w:val="none" w:sz="0" w:space="0" w:color="auto"/>
        <w:bottom w:val="none" w:sz="0" w:space="0" w:color="auto"/>
        <w:right w:val="none" w:sz="0" w:space="0" w:color="auto"/>
      </w:divBdr>
    </w:div>
    <w:div w:id="15180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fcr.cz/file/9003/" TargetMode="External"/><Relationship Id="rId18" Type="http://schemas.openxmlformats.org/officeDocument/2006/relationships/hyperlink" Target="https://www.esfcr.cz/documents/21802/803023/Nahradnijmeno+9186/ac89f543-d4fc-4386-90ba-c88ad68bed6f" TargetMode="External"/><Relationship Id="rId26" Type="http://schemas.openxmlformats.org/officeDocument/2006/relationships/hyperlink" Target="https://www.oecd-ilibrary.org/development/oecd-development-co-operation-peer-reviews-germany-2021_bb32a97d-en" TargetMode="External"/><Relationship Id="rId39" Type="http://schemas.openxmlformats.org/officeDocument/2006/relationships/hyperlink" Target="https://www.oecd-ilibrary.org/development/oecd-development-co-operation-peer-reviews-the-netherlands-2017_9789264278363-en" TargetMode="External"/><Relationship Id="rId21" Type="http://schemas.openxmlformats.org/officeDocument/2006/relationships/hyperlink" Target="https://www.oecd-ilibrary.org/development/oecd-development-co-operation-peer-reviews-finland-2017_9789264287235-en" TargetMode="External"/><Relationship Id="rId34" Type="http://schemas.openxmlformats.org/officeDocument/2006/relationships/hyperlink" Target="https://www.oecd-ilibrary.org/development/oecd-development-co-operation-peer-reviews-finland-2017_9789264287235-en" TargetMode="External"/><Relationship Id="rId42" Type="http://schemas.openxmlformats.org/officeDocument/2006/relationships/hyperlink" Target="https://www.oecd-ilibrary.org/development/oecd-development-co-operation-peer-reviews-finland-2017_9789264287235-en" TargetMode="External"/><Relationship Id="rId47" Type="http://schemas.openxmlformats.org/officeDocument/2006/relationships/hyperlink" Target="https://www.sida.se/en/" TargetMode="External"/><Relationship Id="rId50" Type="http://schemas.openxmlformats.org/officeDocument/2006/relationships/hyperlink" Target="https://www.partnersforresilience.nl/downloads/files/FULL_PfR_Annual%20Report%202019_final.pdf" TargetMode="External"/><Relationship Id="rId55" Type="http://schemas.openxmlformats.org/officeDocument/2006/relationships/hyperlink" Target="https://www.oecd-ilibrary.org/development/oecd-development-co-operation-peer-reviews-sweden-2019_9f83244b-en" TargetMode="External"/><Relationship Id="rId63" Type="http://schemas.openxmlformats.org/officeDocument/2006/relationships/hyperlink" Target="http://www.bmcommunity.sitew.com/fs/root/8jqh4-corporate_ngo.pdf" TargetMode="External"/><Relationship Id="rId68" Type="http://schemas.openxmlformats.org/officeDocument/2006/relationships/hyperlink" Target="https://www.semanticscholar.org/paper/Key-Factors-for-the-Successful-Implementation-of-of-Kuenkel-Aitken/9e2e350e0d729dbd1e6d54e0b7c6dabfffa53042" TargetMode="External"/><Relationship Id="rId76" Type="http://schemas.openxmlformats.org/officeDocument/2006/relationships/hyperlink" Target="https://www.oecd-ilibrary.org/development/oecd-development-co-operation-peer-reviews_23097132" TargetMode="External"/><Relationship Id="rId84" Type="http://schemas.openxmlformats.org/officeDocument/2006/relationships/hyperlink" Target="https://www.oecd-ilibrary.org/development/oecd-development-co-operation-peer-reviews_23097132" TargetMode="External"/><Relationship Id="rId89" Type="http://schemas.openxmlformats.org/officeDocument/2006/relationships/hyperlink" Target="https://www.oecd.org/dac/peer-reviews/Peer-Learning-Country-Report-Sweden.pdf" TargetMode="External"/><Relationship Id="rId7" Type="http://schemas.openxmlformats.org/officeDocument/2006/relationships/endnotes" Target="endnotes.xml"/><Relationship Id="rId71" Type="http://schemas.openxmlformats.org/officeDocument/2006/relationships/hyperlink" Target="https://www.esfcr.cz/prehled-vyzev-opz/-/asset_publisher/eM7NGkQLScRc/content/budovani-kapacit-a-profesionalizace-nno?redirect=https%3A%2F%2Fwww.esfcr.cz%2Fvyhledavani%3Fp_auth%3DsL5Ii0iv%26p_p_id%3DPortalSearchPortlet_WAR_esfportalportletapplication%26p_p_lifecycle%3D1%26p_p_state%3Dnormal%26p_p_mode%3Dview%26p_p_col_id%3Dcolumn-1%26p_p_col_count%3D1%26_PortalSearchPortlet_WAR_esfportalportletapplication_start%3D0%26_PortalSearchPortlet_WAR_esfportalportletapplication_query%3D03_15_031%26_PortalSearchPortlet_WAR_esfportalportletapplication_searchType%3DALL%26_PortalSearchPortlet_WAR_esfportalportletapplication_end%3D30%26_PortalSearchPortlet_WAR_esfportalportletapplication_javax.portlet.action%3Dportalsearch"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fcr.cz/vyzva-031-opz" TargetMode="External"/><Relationship Id="rId29" Type="http://schemas.openxmlformats.org/officeDocument/2006/relationships/hyperlink" Target="https://www.oecd-ilibrary.org/development/oecd-development-co-operation-peer-reviews-united-kingdom-2020_43b42243-en" TargetMode="External"/><Relationship Id="rId11" Type="http://schemas.openxmlformats.org/officeDocument/2006/relationships/hyperlink" Target="http://www.mzp.cz/cz/program_podpora_projektu_nno" TargetMode="External"/><Relationship Id="rId24" Type="http://schemas.openxmlformats.org/officeDocument/2006/relationships/hyperlink" Target="https://www.oecd-ilibrary.org/development/oecd-development-co-operation-peer-reviews-canada-2018_9789264303560-en" TargetMode="External"/><Relationship Id="rId32" Type="http://schemas.openxmlformats.org/officeDocument/2006/relationships/hyperlink" Target="https://www.oecd-ilibrary.org/development/oecd-development-co-operation-peer-reviews-canada-2018_9789264303560-en" TargetMode="External"/><Relationship Id="rId37" Type="http://schemas.openxmlformats.org/officeDocument/2006/relationships/hyperlink" Target="https://www.oecd-ilibrary.org/development/oecd-development-co-operation-peer-reviews-belgium-2020_026f1aad-en" TargetMode="External"/><Relationship Id="rId40" Type="http://schemas.openxmlformats.org/officeDocument/2006/relationships/hyperlink" Target="https://www.oecd-ilibrary.org/development/oecd-development-co-operation-peer-reviews-germany-2021_bb32a97d-en" TargetMode="External"/><Relationship Id="rId45" Type="http://schemas.openxmlformats.org/officeDocument/2006/relationships/hyperlink" Target="https://www.oecd-ilibrary.org/development/oecd-development-co-operation-peer-reviews-finland-2017_9789264287235-en" TargetMode="External"/><Relationship Id="rId53" Type="http://schemas.openxmlformats.org/officeDocument/2006/relationships/hyperlink" Target="https://www.engagement-global.de/homepage.html" TargetMode="External"/><Relationship Id="rId58" Type="http://schemas.openxmlformats.org/officeDocument/2006/relationships/hyperlink" Target="http://klant3.mybluechili.nl/en" TargetMode="External"/><Relationship Id="rId66" Type="http://schemas.openxmlformats.org/officeDocument/2006/relationships/hyperlink" Target="http://www.nsi-ins.ca/wp-content/uploads/2014/01/The-Value-of-Cross-Sector-Development-Partnerships.pdf" TargetMode="External"/><Relationship Id="rId74" Type="http://schemas.openxmlformats.org/officeDocument/2006/relationships/hyperlink" Target="https://www.norad.no/en/toolspublications/publications/2018/norads-support-to-civil-society---guiding-principles/" TargetMode="External"/><Relationship Id="rId79" Type="http://schemas.openxmlformats.org/officeDocument/2006/relationships/hyperlink" Target="https://www.oecd-ilibrary.org/development/oecd-development-co-operation-peer-reviews_23097132" TargetMode="External"/><Relationship Id="rId87" Type="http://schemas.openxmlformats.org/officeDocument/2006/relationships/hyperlink" Target="https://www.oecd-ilibrary.org/development/oecd-development-co-operation-peer-reviews_23097132" TargetMode="External"/><Relationship Id="rId5" Type="http://schemas.openxmlformats.org/officeDocument/2006/relationships/webSettings" Target="webSettings.xml"/><Relationship Id="rId61" Type="http://schemas.openxmlformats.org/officeDocument/2006/relationships/hyperlink" Target="https://www.semanticscholar.org/paper/THE-INFLUENCE-OF-GOVERNMENT-POLICY-AND-NGOS-ON-Allard-Martinez/f765aa04727ff9ed4e6169b53c3e85daa659aefc" TargetMode="External"/><Relationship Id="rId82" Type="http://schemas.openxmlformats.org/officeDocument/2006/relationships/hyperlink" Target="https://www.oecd-ilibrary.org/development/oecd-development-co-operation-peer-reviews_23097132" TargetMode="External"/><Relationship Id="rId90" Type="http://schemas.openxmlformats.org/officeDocument/2006/relationships/hyperlink" Target="https://www.sida.se/en/for-partners/private-sector/public-private-development-partnership" TargetMode="External"/><Relationship Id="rId95" Type="http://schemas.openxmlformats.org/officeDocument/2006/relationships/theme" Target="theme/theme1.xml"/><Relationship Id="rId19" Type="http://schemas.openxmlformats.org/officeDocument/2006/relationships/hyperlink" Target="https://www.esfcr.cz/documents/21802/803023/Prezentace+evaluace+ve+v%C3%BDzv%C4%9B+31/ad9068bb-0f8e-4832-84d7-3f0b2053b155" TargetMode="External"/><Relationship Id="rId14" Type="http://schemas.openxmlformats.org/officeDocument/2006/relationships/hyperlink" Target="https://www.esfcr.cz/documents/21802/803023/Nahradnijmeno+9186/ac89f543-d4fc-4386-90ba-c88ad68bed6f" TargetMode="External"/><Relationship Id="rId22" Type="http://schemas.openxmlformats.org/officeDocument/2006/relationships/hyperlink" Target="https://www.oecd-ilibrary.org/development/oecd-development-co-operation-peer-reviews-ireland-2020_c20f6995-en" TargetMode="External"/><Relationship Id="rId27" Type="http://schemas.openxmlformats.org/officeDocument/2006/relationships/hyperlink" Target="https://www.oecd-ilibrary.org/development/oecd-development-co-operation-peer-reviews-norway-2019_75084277-en" TargetMode="External"/><Relationship Id="rId30" Type="http://schemas.openxmlformats.org/officeDocument/2006/relationships/hyperlink" Target="https://www.oecd-ilibrary.org/development/oecd-development-co-operation-peer-reviews-belgium-2020_026f1aad-en" TargetMode="External"/><Relationship Id="rId35" Type="http://schemas.openxmlformats.org/officeDocument/2006/relationships/hyperlink" Target="https://www.oecd-ilibrary.org/development/oecd-development-co-operation-peer-reviews-canada-2018_9789264303560-en" TargetMode="External"/><Relationship Id="rId43" Type="http://schemas.openxmlformats.org/officeDocument/2006/relationships/hyperlink" Target="https://www.oecd-ilibrary.org/development/oecd-development-co-operation-peer-reviews-norway-2019_75084277-en" TargetMode="External"/><Relationship Id="rId48" Type="http://schemas.openxmlformats.org/officeDocument/2006/relationships/hyperlink" Target="https://www.oecd-ilibrary.org/development/oecd-development-co-operation-peer-reviews-slovenia-2017_9789264279308-en" TargetMode="External"/><Relationship Id="rId56" Type="http://schemas.openxmlformats.org/officeDocument/2006/relationships/hyperlink" Target="https://www.oecd-ilibrary.org/development/oecd-development-co-operation-peer-reviews-belgium-2020_026f1aad-en" TargetMode="External"/><Relationship Id="rId64" Type="http://schemas.openxmlformats.org/officeDocument/2006/relationships/hyperlink" Target="https://finnpartnership.fi/en/frontpage/" TargetMode="External"/><Relationship Id="rId69" Type="http://schemas.openxmlformats.org/officeDocument/2006/relationships/hyperlink" Target="https://www.dotaceeu.cz/cs/evropske-fondy-v-cr/narodni-organ-pro-koordinaci/evaluace/knihovna-evaluaci/evaluace-vysledku-pilotni-podpory-budovani-kapacit" TargetMode="External"/><Relationship Id="rId77" Type="http://schemas.openxmlformats.org/officeDocument/2006/relationships/hyperlink" Target="https://www.oecd-ilibrary.org/development/oecd-development-co-operation-peer-reviews_23097132" TargetMode="External"/><Relationship Id="rId8" Type="http://schemas.openxmlformats.org/officeDocument/2006/relationships/hyperlink" Target="http://www.projektymzp.cz/" TargetMode="External"/><Relationship Id="rId51" Type="http://schemas.openxmlformats.org/officeDocument/2006/relationships/hyperlink" Target="https://www.oecd-ilibrary.org/development/oecd-development-co-operation-peer-reviews-ireland-2020_c20f6995-en" TargetMode="External"/><Relationship Id="rId72" Type="http://schemas.openxmlformats.org/officeDocument/2006/relationships/hyperlink" Target="https://www.mzp.cz/C1257458002F0DC7/cz/vysledky_projektu_nno_publikace/$FILE/ofdn_prehled%20podporenych%20projektu%202019_20200922.pdf" TargetMode="External"/><Relationship Id="rId80" Type="http://schemas.openxmlformats.org/officeDocument/2006/relationships/hyperlink" Target="https://www.oecd-ilibrary.org/development/oecd-development-co-operation-peer-reviews_23097132" TargetMode="External"/><Relationship Id="rId85" Type="http://schemas.openxmlformats.org/officeDocument/2006/relationships/hyperlink" Target="https://www.oecd-ilibrary.org/development/oecd-development-co-operation-peer-reviews_23097132"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esfcr.cz/vyzva-031-opz" TargetMode="External"/><Relationship Id="rId17" Type="http://schemas.openxmlformats.org/officeDocument/2006/relationships/hyperlink" Target="https://www.esfcr.cz/file/9003/" TargetMode="External"/><Relationship Id="rId25" Type="http://schemas.openxmlformats.org/officeDocument/2006/relationships/hyperlink" Target="https://www.oecd-ilibrary.org/development/oecd-development-co-operation-peer-reviews-the-netherlands-2017_9789264278363-en" TargetMode="External"/><Relationship Id="rId33" Type="http://schemas.openxmlformats.org/officeDocument/2006/relationships/hyperlink" Target="https://www.oecd-ilibrary.org/development/oecd-development-co-operation-peer-reviews-the-netherlands-2017_9789264278363-en" TargetMode="External"/><Relationship Id="rId38" Type="http://schemas.openxmlformats.org/officeDocument/2006/relationships/hyperlink" Target="https://www.oecd-ilibrary.org/development/oecd-development-co-operation-peer-reviews-sweden-2019_9f83244b-en" TargetMode="External"/><Relationship Id="rId46" Type="http://schemas.openxmlformats.org/officeDocument/2006/relationships/hyperlink" Target="https://www.oecd-ilibrary.org/development/oecd-development-co-operation-peer-reviews-canada-2018_9789264303560-en" TargetMode="External"/><Relationship Id="rId59" Type="http://schemas.openxmlformats.org/officeDocument/2006/relationships/hyperlink" Target="http://klant3.mybluechili.nl/en/programmes/dialogue-and-dissent" TargetMode="External"/><Relationship Id="rId67" Type="http://schemas.openxmlformats.org/officeDocument/2006/relationships/hyperlink" Target="https://papers.ssrn.com/sol3/papers.cfm?abstract_id=1086066" TargetMode="External"/><Relationship Id="rId20" Type="http://schemas.openxmlformats.org/officeDocument/2006/relationships/hyperlink" Target="https://www.oecd-ilibrary.org/development/oecd-development-co-operation-peer-reviews-belgium-2020_026f1aad-en" TargetMode="External"/><Relationship Id="rId41" Type="http://schemas.openxmlformats.org/officeDocument/2006/relationships/hyperlink" Target="https://www.partnersforresilience.nl/downloads/files/FULL_PfR_Annual%20Report%202019_final.pdf" TargetMode="External"/><Relationship Id="rId54" Type="http://schemas.openxmlformats.org/officeDocument/2006/relationships/hyperlink" Target="https://www.sida.se/en/" TargetMode="External"/><Relationship Id="rId62" Type="http://schemas.openxmlformats.org/officeDocument/2006/relationships/hyperlink" Target="https://ecdpm.org/wp-content/uploads/DP-182-Mapping-CSO-Business-Partnerships-ECDPM-2015.pdf" TargetMode="External"/><Relationship Id="rId70" Type="http://schemas.openxmlformats.org/officeDocument/2006/relationships/hyperlink" Target="https://publikationer.sida.se/contentassets/e35b55d8740d46e5ba773b99f3e3385c/de2019_3_62195en.pdf" TargetMode="External"/><Relationship Id="rId75" Type="http://schemas.openxmlformats.org/officeDocument/2006/relationships/hyperlink" Target="https://www.oecd-ilibrary.org/development/oecd-development-co-operation-peer-reviews_23097132" TargetMode="External"/><Relationship Id="rId83" Type="http://schemas.openxmlformats.org/officeDocument/2006/relationships/hyperlink" Target="https://www.oecd-ilibrary.org/development/oecd-development-co-operation-peer-reviews_23097132" TargetMode="External"/><Relationship Id="rId88" Type="http://schemas.openxmlformats.org/officeDocument/2006/relationships/hyperlink" Target="https://www.oecd-ilibrary.org/development/oecd-development-co-operation-peer-reviews_23097132" TargetMode="External"/><Relationship Id="rId91" Type="http://schemas.openxmlformats.org/officeDocument/2006/relationships/hyperlink" Target="https://www.sida.se/en/for-partners/private-sector/swedish-leadership-for-sustainable-develop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sfcr.cz/documents/21802/803023/Prezentace+evaluace+ve+v%C3%BDzv%C4%9B+31/ad9068bb-0f8e-4832-84d7-3f0b2053b155" TargetMode="External"/><Relationship Id="rId23" Type="http://schemas.openxmlformats.org/officeDocument/2006/relationships/hyperlink" Target="https://www.oecd-ilibrary.org/development/oecd-development-co-operation-peer-reviews-italy-2019_b1874a7a-en" TargetMode="External"/><Relationship Id="rId28" Type="http://schemas.openxmlformats.org/officeDocument/2006/relationships/hyperlink" Target="https://www.oecd-ilibrary.org/development/oecd-development-co-operation-peer-reviews-slovenia-2017_9789264279308-en" TargetMode="External"/><Relationship Id="rId36" Type="http://schemas.openxmlformats.org/officeDocument/2006/relationships/hyperlink" Target="http://klant3.mybluechili.nl/en/programmes/dialogue-and-dissent" TargetMode="External"/><Relationship Id="rId49" Type="http://schemas.openxmlformats.org/officeDocument/2006/relationships/hyperlink" Target="https://www.oecd-ilibrary.org/development/oecd-development-co-operation-peer-reviews-united-kingdom-2020_43b42243-en" TargetMode="External"/><Relationship Id="rId57" Type="http://schemas.openxmlformats.org/officeDocument/2006/relationships/hyperlink" Target="https://www.oecd-ilibrary.org/development/oecd-development-co-operation-peer-reviews-ireland-2020_c20f6995-en" TargetMode="External"/><Relationship Id="rId10" Type="http://schemas.openxmlformats.org/officeDocument/2006/relationships/hyperlink" Target="http://www.projektymzp.cz/" TargetMode="External"/><Relationship Id="rId31" Type="http://schemas.openxmlformats.org/officeDocument/2006/relationships/hyperlink" Target="https://www.oecd-ilibrary.org/development/oecd-development-co-operation-peer-reviews-belgium-2020_026f1aad-en" TargetMode="External"/><Relationship Id="rId44" Type="http://schemas.openxmlformats.org/officeDocument/2006/relationships/hyperlink" Target="https://www.oecd-ilibrary.org/development/oecd-development-co-operation-peer-reviews-belgium-2020_026f1aad-en" TargetMode="External"/><Relationship Id="rId52" Type="http://schemas.openxmlformats.org/officeDocument/2006/relationships/hyperlink" Target="https://www.oecd-ilibrary.org/development/oecd-development-co-operation-peer-reviews-germany-2021_bb32a97d-en" TargetMode="External"/><Relationship Id="rId60" Type="http://schemas.openxmlformats.org/officeDocument/2006/relationships/hyperlink" Target="https://www.oecd-ilibrary.org/development/oecd-development-co-operation-peer-reviews_23097132" TargetMode="External"/><Relationship Id="rId65" Type="http://schemas.openxmlformats.org/officeDocument/2006/relationships/hyperlink" Target="https://ecdpm.org/wp-content/uploads/DP204-Donor-Agencies-Karaki-Medinilla-November-2016.pdf" TargetMode="External"/><Relationship Id="rId73" Type="http://schemas.openxmlformats.org/officeDocument/2006/relationships/hyperlink" Target="https://dmdp.dk/wp-content/uploads/2020/03/Programme-document-2017-incl-annex.pdf" TargetMode="External"/><Relationship Id="rId78" Type="http://schemas.openxmlformats.org/officeDocument/2006/relationships/hyperlink" Target="https://www.oecd-ilibrary.org/development/oecd-development-co-operation-peer-reviews-czech-republic-2016_9789264264939-en" TargetMode="External"/><Relationship Id="rId81" Type="http://schemas.openxmlformats.org/officeDocument/2006/relationships/hyperlink" Target="https://www.oecd-ilibrary.org/development/oecd-development-co-operation-peer-reviews_23097132" TargetMode="External"/><Relationship Id="rId86" Type="http://schemas.openxmlformats.org/officeDocument/2006/relationships/hyperlink" Target="https://www.oecd-ilibrary.org/development/oecd-development-co-operation-peer-reviews_2309713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zp.cz/cz/program_podpora_projektu_nn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nb.info/1097398080/34" TargetMode="External"/><Relationship Id="rId2" Type="http://schemas.openxmlformats.org/officeDocument/2006/relationships/hyperlink" Target="https://www.oecd.org/dac/peer-reviews/Peer-Learning-Country-Report-Sweden.pdf" TargetMode="External"/><Relationship Id="rId1" Type="http://schemas.openxmlformats.org/officeDocument/2006/relationships/hyperlink" Target="https://publikationer.sida.se/contentassets/e35b55d8740d46e5ba773b99f3e3385c/de2019_3_62195en.pdf" TargetMode="External"/><Relationship Id="rId5" Type="http://schemas.openxmlformats.org/officeDocument/2006/relationships/hyperlink" Target="https://www.government.nl/topics/grant-programmes/dialogue-and-dissent-strategic-partnerships-for-lobby-and-advocacy" TargetMode="External"/><Relationship Id="rId4" Type="http://schemas.openxmlformats.org/officeDocument/2006/relationships/hyperlink" Target="https://dmdp.dk/wp-content/uploads/2020/03/Programme-document-2017-incl-annex.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A5F6-ADAD-42BA-8966-6E7B153B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11090</Words>
  <Characters>65434</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Výběrové řízení na podporu projektů předložených nestátními neziskovými organizacemi pro rok 2004</vt:lpstr>
    </vt:vector>
  </TitlesOfParts>
  <Company>Ústav mezinárodních vztahů</Company>
  <LinksUpToDate>false</LinksUpToDate>
  <CharactersWithSpaces>76372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Výběrové řízení na podporu projektů předložených nestátními neziskovými organizacemi pro rok 2004</dc:title>
  <dc:subject/>
  <dc:creator>Petr Halaxa</dc:creator>
  <cp:keywords/>
  <cp:lastModifiedBy>Dr. Marie Feřtrová</cp:lastModifiedBy>
  <cp:revision>4</cp:revision>
  <cp:lastPrinted>2019-09-23T10:58:00Z</cp:lastPrinted>
  <dcterms:created xsi:type="dcterms:W3CDTF">2021-07-22T14:56:00Z</dcterms:created>
  <dcterms:modified xsi:type="dcterms:W3CDTF">2021-07-22T14:58:00Z</dcterms:modified>
</cp:coreProperties>
</file>