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928" w:rightFromText="142" w:vertAnchor="page" w:horzAnchor="page" w:tblpX="681" w:tblpY="625"/>
        <w:tblW w:w="1062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63"/>
        <w:gridCol w:w="4248"/>
        <w:gridCol w:w="5213"/>
      </w:tblGrid>
      <w:tr w:rsidR="00C04FFE" w:rsidTr="00C04FFE">
        <w:trPr>
          <w:trHeight w:hRule="exact" w:val="1134"/>
        </w:trPr>
        <w:tc>
          <w:tcPr>
            <w:tcW w:w="1163" w:type="dxa"/>
            <w:tcBorders>
              <w:top w:val="nil"/>
              <w:left w:val="nil"/>
              <w:bottom w:val="nil"/>
              <w:right w:val="single" w:sz="18" w:space="0" w:color="D52B1E"/>
            </w:tcBorders>
            <w:vAlign w:val="center"/>
            <w:hideMark/>
          </w:tcPr>
          <w:p w:rsidR="00C04FFE" w:rsidRDefault="00C04FFE" w:rsidP="00C04FFE">
            <w:pPr>
              <w:spacing w:after="120" w:line="240" w:lineRule="auto"/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  <w:noProof/>
                <w:lang w:eastAsia="cs-CZ"/>
              </w:rPr>
              <w:drawing>
                <wp:inline distT="0" distB="0" distL="0" distR="0" wp14:anchorId="7CE0ED5D" wp14:editId="5BFF143A">
                  <wp:extent cx="723900" cy="72390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8" w:space="0" w:color="D52B1E"/>
              <w:bottom w:val="nil"/>
              <w:right w:val="single" w:sz="18" w:space="0" w:color="004A9B"/>
            </w:tcBorders>
            <w:noWrap/>
            <w:tcMar>
              <w:top w:w="0" w:type="dxa"/>
              <w:left w:w="369" w:type="dxa"/>
              <w:bottom w:w="0" w:type="dxa"/>
              <w:right w:w="0" w:type="dxa"/>
            </w:tcMar>
            <w:hideMark/>
          </w:tcPr>
          <w:p w:rsidR="00C04FFE" w:rsidRDefault="00C04FFE" w:rsidP="00C04FFE">
            <w:pPr>
              <w:pStyle w:val="Nzevuradu"/>
              <w:spacing w:before="0" w:after="120" w:line="240" w:lineRule="auto"/>
              <w:ind w:left="0"/>
            </w:pPr>
            <w:r>
              <w:rPr>
                <w:sz w:val="26"/>
                <w:szCs w:val="26"/>
              </w:rPr>
              <w:t>Ministerstvo zahraničních věcí</w:t>
            </w:r>
            <w:r>
              <w:rPr>
                <w:sz w:val="26"/>
                <w:szCs w:val="26"/>
              </w:rPr>
              <w:br/>
              <w:t>České republiky</w:t>
            </w:r>
          </w:p>
        </w:tc>
        <w:tc>
          <w:tcPr>
            <w:tcW w:w="5213" w:type="dxa"/>
            <w:tcBorders>
              <w:top w:val="nil"/>
              <w:left w:val="single" w:sz="18" w:space="0" w:color="004A9B"/>
              <w:bottom w:val="nil"/>
              <w:right w:val="nil"/>
            </w:tcBorders>
            <w:noWrap/>
            <w:tcMar>
              <w:top w:w="0" w:type="dxa"/>
              <w:left w:w="369" w:type="dxa"/>
              <w:bottom w:w="0" w:type="dxa"/>
              <w:right w:w="0" w:type="dxa"/>
            </w:tcMar>
            <w:vAlign w:val="center"/>
            <w:hideMark/>
          </w:tcPr>
          <w:p w:rsidR="00C04FFE" w:rsidRDefault="00C04FFE" w:rsidP="00C04FFE">
            <w:pPr>
              <w:pStyle w:val="Adresa"/>
              <w:spacing w:after="120" w:line="240" w:lineRule="auto"/>
            </w:pPr>
            <w:r>
              <w:t>Odbor zahraničněpolitických analýz a plánování                  Loretánské nám. 5, 118 00 Praha 1</w:t>
            </w:r>
          </w:p>
          <w:p w:rsidR="00C04FFE" w:rsidRDefault="00547322" w:rsidP="00C04FFE">
            <w:pPr>
              <w:pStyle w:val="Adresa"/>
              <w:spacing w:after="120" w:line="240" w:lineRule="auto"/>
            </w:pPr>
            <w:r>
              <w:t>tel.: +420 224 182</w:t>
            </w:r>
            <w:r w:rsidR="00C04FFE">
              <w:t>708, fax: +420 224 182015                                 email:  ozap_dotace@mzv.cz</w:t>
            </w:r>
          </w:p>
          <w:p w:rsidR="00C04FFE" w:rsidRDefault="00A51E70" w:rsidP="00C04FFE">
            <w:pPr>
              <w:pStyle w:val="Adresa"/>
              <w:spacing w:after="120" w:line="240" w:lineRule="auto"/>
              <w:rPr>
                <w:rStyle w:val="Hypertextovodkaz"/>
              </w:rPr>
            </w:pPr>
            <w:hyperlink r:id="rId6" w:history="1">
              <w:r w:rsidR="00C04FFE">
                <w:rPr>
                  <w:rStyle w:val="Hypertextovodkaz"/>
                </w:rPr>
                <w:t>www.mzv.cz</w:t>
              </w:r>
            </w:hyperlink>
          </w:p>
          <w:p w:rsidR="00C04FFE" w:rsidRDefault="00C04FFE" w:rsidP="00C04FFE">
            <w:pPr>
              <w:pStyle w:val="Adresa"/>
              <w:spacing w:after="120" w:line="240" w:lineRule="auto"/>
              <w:rPr>
                <w:rStyle w:val="Hypertextovodkaz"/>
              </w:rPr>
            </w:pPr>
          </w:p>
          <w:p w:rsidR="00C04FFE" w:rsidRDefault="00C04FFE" w:rsidP="00C04FFE">
            <w:pPr>
              <w:pStyle w:val="Adresa"/>
              <w:spacing w:after="120" w:line="240" w:lineRule="auto"/>
              <w:rPr>
                <w:rStyle w:val="Hypertextovodkaz"/>
              </w:rPr>
            </w:pPr>
          </w:p>
          <w:p w:rsidR="00C04FFE" w:rsidRDefault="00C04FFE" w:rsidP="00C04FFE">
            <w:pPr>
              <w:pStyle w:val="Adresa"/>
              <w:spacing w:after="120" w:line="240" w:lineRule="auto"/>
              <w:rPr>
                <w:rStyle w:val="Hypertextovodkaz"/>
              </w:rPr>
            </w:pPr>
          </w:p>
          <w:p w:rsidR="00C04FFE" w:rsidRDefault="00C04FFE" w:rsidP="00C04FFE">
            <w:pPr>
              <w:pStyle w:val="Adresa"/>
              <w:spacing w:after="120" w:line="240" w:lineRule="auto"/>
            </w:pPr>
          </w:p>
        </w:tc>
      </w:tr>
    </w:tbl>
    <w:p w:rsidR="00040C46" w:rsidRDefault="00040C46" w:rsidP="00040C46">
      <w:pPr>
        <w:jc w:val="both"/>
      </w:pPr>
    </w:p>
    <w:p w:rsidR="00C04FFE" w:rsidRDefault="00C04FFE" w:rsidP="00040C46">
      <w:pPr>
        <w:spacing w:after="120"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Příloha č. X</w:t>
      </w:r>
    </w:p>
    <w:tbl>
      <w:tblPr>
        <w:tblpPr w:leftFromText="141" w:rightFromText="141" w:vertAnchor="text" w:horzAnchor="margin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C04FFE" w:rsidTr="00C04FFE">
        <w:trPr>
          <w:trHeight w:val="43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C04FFE" w:rsidRPr="00AA1D91" w:rsidRDefault="00C04FFE" w:rsidP="00C04FFE">
            <w:pPr>
              <w:pStyle w:val="Nadpis1"/>
              <w:spacing w:before="0" w:after="0" w:line="276" w:lineRule="auto"/>
              <w:jc w:val="center"/>
              <w:rPr>
                <w:rFonts w:ascii="Times New Roman" w:hAnsi="Times New Roman" w:cs="Times New Roman"/>
                <w:b/>
                <w:bCs/>
                <w:caps/>
                <w:smallCaps/>
                <w:sz w:val="24"/>
                <w:szCs w:val="24"/>
              </w:rPr>
            </w:pPr>
            <w:r w:rsidRPr="00AA1D91">
              <w:rPr>
                <w:rFonts w:ascii="Times New Roman" w:hAnsi="Times New Roman" w:cs="Times New Roman"/>
                <w:b/>
                <w:smallCaps/>
              </w:rPr>
              <w:t xml:space="preserve">Priority zahraniční politiky ČR a mezinárodní vztahy </w:t>
            </w:r>
          </w:p>
        </w:tc>
      </w:tr>
    </w:tbl>
    <w:p w:rsidR="00C04FFE" w:rsidRDefault="00C04FFE" w:rsidP="00040C46">
      <w:pPr>
        <w:spacing w:after="120" w:line="240" w:lineRule="auto"/>
        <w:rPr>
          <w:rFonts w:ascii="Georgia" w:hAnsi="Georgia"/>
          <w:b/>
          <w:sz w:val="24"/>
          <w:szCs w:val="24"/>
        </w:rPr>
      </w:pPr>
    </w:p>
    <w:tbl>
      <w:tblPr>
        <w:tblpPr w:leftFromText="141" w:rightFromText="141" w:vertAnchor="text" w:horzAnchor="margin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C04FFE" w:rsidRPr="00AA1D91" w:rsidTr="00DE652E">
        <w:trPr>
          <w:trHeight w:val="43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C04FFE" w:rsidRPr="00AA1D91" w:rsidRDefault="00A51E70" w:rsidP="00C04FFE">
            <w:pPr>
              <w:pStyle w:val="Nadpis1"/>
              <w:spacing w:before="0" w:after="0" w:line="276" w:lineRule="auto"/>
              <w:jc w:val="center"/>
              <w:rPr>
                <w:rFonts w:ascii="Times New Roman" w:hAnsi="Times New Roman" w:cs="Times New Roman"/>
                <w:b/>
                <w:bCs/>
                <w:cap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Tematické</w:t>
            </w:r>
            <w:r w:rsidR="0011197B">
              <w:rPr>
                <w:rFonts w:ascii="Times New Roman" w:hAnsi="Times New Roman" w:cs="Times New Roman"/>
                <w:b/>
                <w:smallCaps/>
              </w:rPr>
              <w:t xml:space="preserve"> okruhy pro rok 202</w:t>
            </w:r>
            <w:r w:rsidR="006A44CB">
              <w:rPr>
                <w:rFonts w:ascii="Times New Roman" w:hAnsi="Times New Roman" w:cs="Times New Roman"/>
                <w:b/>
                <w:smallCaps/>
              </w:rPr>
              <w:t>3</w:t>
            </w:r>
          </w:p>
        </w:tc>
      </w:tr>
    </w:tbl>
    <w:p w:rsidR="00C04FFE" w:rsidRDefault="00C04FFE" w:rsidP="00040C46">
      <w:pPr>
        <w:spacing w:after="120" w:line="240" w:lineRule="auto"/>
        <w:rPr>
          <w:rFonts w:ascii="Georgia" w:hAnsi="Georgia"/>
          <w:b/>
          <w:sz w:val="24"/>
          <w:szCs w:val="24"/>
        </w:rPr>
      </w:pPr>
    </w:p>
    <w:p w:rsidR="00953BD2" w:rsidRDefault="00953BD2" w:rsidP="00953BD2">
      <w:pPr>
        <w:spacing w:before="240" w:after="120" w:line="259" w:lineRule="auto"/>
        <w:contextualSpacing/>
        <w:jc w:val="both"/>
        <w:rPr>
          <w:rFonts w:ascii="Georgia" w:hAnsi="Georgia"/>
        </w:rPr>
      </w:pPr>
    </w:p>
    <w:p w:rsidR="00731617" w:rsidRPr="00F6158E" w:rsidRDefault="00731617" w:rsidP="00953BD2">
      <w:pPr>
        <w:spacing w:before="240" w:after="120" w:line="259" w:lineRule="auto"/>
        <w:contextualSpacing/>
        <w:jc w:val="both"/>
        <w:rPr>
          <w:rFonts w:ascii="Georgia" w:hAnsi="Georgia"/>
          <w:b/>
          <w:sz w:val="28"/>
          <w:szCs w:val="28"/>
          <w:u w:val="single"/>
        </w:rPr>
      </w:pPr>
      <w:r w:rsidRPr="00F6158E">
        <w:rPr>
          <w:rFonts w:ascii="Georgia" w:hAnsi="Georgia"/>
          <w:b/>
          <w:sz w:val="28"/>
          <w:szCs w:val="28"/>
          <w:u w:val="single"/>
        </w:rPr>
        <w:t>Mezinárodní řád</w:t>
      </w:r>
    </w:p>
    <w:p w:rsidR="00953BD2" w:rsidRPr="004D0EEB" w:rsidRDefault="00953BD2" w:rsidP="00953BD2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</w:rPr>
      </w:pPr>
      <w:r w:rsidRPr="00763168">
        <w:rPr>
          <w:rFonts w:ascii="Georgia" w:hAnsi="Georgia"/>
          <w:b/>
        </w:rPr>
        <w:t>Multilateralismus</w:t>
      </w:r>
      <w:r w:rsidRPr="004D0EEB">
        <w:rPr>
          <w:rFonts w:ascii="Georgia" w:hAnsi="Georgia"/>
        </w:rPr>
        <w:t xml:space="preserve"> založený na respektu k platným normám</w:t>
      </w:r>
      <w:r w:rsidR="00C421B5">
        <w:rPr>
          <w:rFonts w:ascii="Georgia" w:hAnsi="Georgia"/>
        </w:rPr>
        <w:t xml:space="preserve"> jako existenciální imperativ</w:t>
      </w:r>
      <w:r w:rsidRPr="004D0EEB">
        <w:rPr>
          <w:rFonts w:ascii="Georgia" w:hAnsi="Georgia"/>
        </w:rPr>
        <w:t xml:space="preserve">. </w:t>
      </w:r>
      <w:r w:rsidR="006A44CB">
        <w:rPr>
          <w:rFonts w:ascii="Georgia" w:hAnsi="Georgia"/>
        </w:rPr>
        <w:t>Udržení</w:t>
      </w:r>
      <w:r w:rsidR="006A44CB" w:rsidRPr="004D0EEB">
        <w:rPr>
          <w:rFonts w:ascii="Georgia" w:hAnsi="Georgia"/>
        </w:rPr>
        <w:t xml:space="preserve"> </w:t>
      </w:r>
      <w:r w:rsidRPr="004D0EEB">
        <w:rPr>
          <w:rFonts w:ascii="Georgia" w:hAnsi="Georgia"/>
        </w:rPr>
        <w:t>multilateralismu a prosazování multilaterálního p</w:t>
      </w:r>
      <w:bookmarkStart w:id="0" w:name="_GoBack"/>
      <w:bookmarkEnd w:id="0"/>
      <w:r w:rsidRPr="004D0EEB">
        <w:rPr>
          <w:rFonts w:ascii="Georgia" w:hAnsi="Georgia"/>
        </w:rPr>
        <w:t xml:space="preserve">řístupu k řešení aktuálních globálních výzev. </w:t>
      </w:r>
    </w:p>
    <w:p w:rsidR="00F6158E" w:rsidRPr="00B314B1" w:rsidRDefault="009C1088" w:rsidP="00F6158E">
      <w:pPr>
        <w:pStyle w:val="Odstavecseseznamem"/>
        <w:numPr>
          <w:ilvl w:val="0"/>
          <w:numId w:val="19"/>
        </w:numPr>
        <w:spacing w:before="240" w:after="120" w:line="259" w:lineRule="auto"/>
        <w:contextualSpacing/>
        <w:jc w:val="both"/>
        <w:rPr>
          <w:rFonts w:ascii="Georgia" w:hAnsi="Georgia"/>
        </w:rPr>
      </w:pPr>
      <w:r w:rsidRPr="00763168">
        <w:rPr>
          <w:rFonts w:ascii="Georgia" w:hAnsi="Georgia"/>
          <w:b/>
          <w:bCs/>
          <w:lang w:eastAsia="cs-CZ"/>
        </w:rPr>
        <w:t>E</w:t>
      </w:r>
      <w:r w:rsidR="00905A53" w:rsidRPr="00763168">
        <w:rPr>
          <w:rFonts w:ascii="Georgia" w:hAnsi="Georgia"/>
          <w:b/>
          <w:bCs/>
          <w:lang w:eastAsia="cs-CZ"/>
        </w:rPr>
        <w:t>vropská unie</w:t>
      </w:r>
      <w:r w:rsidRPr="00F6158E">
        <w:rPr>
          <w:rFonts w:ascii="Georgia" w:hAnsi="Georgia"/>
          <w:bCs/>
          <w:lang w:eastAsia="cs-CZ"/>
        </w:rPr>
        <w:t xml:space="preserve"> </w:t>
      </w:r>
      <w:r w:rsidR="003E3BEE" w:rsidRPr="00F6158E">
        <w:rPr>
          <w:rFonts w:ascii="Georgia" w:hAnsi="Georgia"/>
          <w:bCs/>
          <w:lang w:eastAsia="cs-CZ"/>
        </w:rPr>
        <w:t xml:space="preserve">jednotná a odolná, </w:t>
      </w:r>
      <w:r w:rsidRPr="00F6158E">
        <w:rPr>
          <w:rFonts w:ascii="Georgia" w:hAnsi="Georgia"/>
          <w:bCs/>
          <w:lang w:eastAsia="cs-CZ"/>
        </w:rPr>
        <w:t>jako efektivní aktér na globální scéně v novém kontextu – globální témata a aktéři, hrozby a příležitosti.</w:t>
      </w:r>
      <w:r w:rsidR="00F6158E">
        <w:rPr>
          <w:rFonts w:ascii="Georgia" w:hAnsi="Georgia"/>
          <w:bCs/>
          <w:lang w:eastAsia="cs-CZ"/>
        </w:rPr>
        <w:t xml:space="preserve"> </w:t>
      </w:r>
      <w:r w:rsidR="00F6158E">
        <w:rPr>
          <w:rFonts w:ascii="Georgia" w:hAnsi="Georgia"/>
        </w:rPr>
        <w:t xml:space="preserve">Budoucnost a konkrétní oblasti působení politik Východního partnerství ve světle potvrzení evropské perspektivy Ukrajiny, </w:t>
      </w:r>
      <w:r w:rsidR="00F6158E" w:rsidRPr="00141EA3">
        <w:rPr>
          <w:rFonts w:ascii="Georgia" w:hAnsi="Georgia"/>
        </w:rPr>
        <w:t>Moldavsk</w:t>
      </w:r>
      <w:r w:rsidR="00F6158E">
        <w:rPr>
          <w:rFonts w:ascii="Georgia" w:hAnsi="Georgia"/>
        </w:rPr>
        <w:t>a a Gruzie.</w:t>
      </w:r>
      <w:r w:rsidR="00314826">
        <w:rPr>
          <w:rFonts w:ascii="Georgia" w:hAnsi="Georgia"/>
        </w:rPr>
        <w:t xml:space="preserve"> </w:t>
      </w:r>
      <w:r w:rsidR="00B612A5">
        <w:rPr>
          <w:rFonts w:ascii="Georgia" w:hAnsi="Georgia"/>
        </w:rPr>
        <w:t>EU a západní Balkán - p</w:t>
      </w:r>
      <w:r w:rsidR="00B612A5" w:rsidRPr="004D0EEB">
        <w:rPr>
          <w:rFonts w:ascii="Georgia" w:hAnsi="Georgia"/>
        </w:rPr>
        <w:t>riority a</w:t>
      </w:r>
      <w:r w:rsidR="00B612A5">
        <w:rPr>
          <w:rFonts w:ascii="Georgia" w:hAnsi="Georgia"/>
        </w:rPr>
        <w:t xml:space="preserve"> důraz v novém </w:t>
      </w:r>
      <w:r w:rsidR="00B612A5" w:rsidRPr="00B314B1">
        <w:rPr>
          <w:rFonts w:ascii="Georgia" w:hAnsi="Georgia"/>
        </w:rPr>
        <w:t>kontextu</w:t>
      </w:r>
      <w:r w:rsidR="00731617" w:rsidRPr="00B314B1">
        <w:rPr>
          <w:rFonts w:ascii="Georgia" w:hAnsi="Georgia"/>
        </w:rPr>
        <w:t xml:space="preserve"> dění na Východě</w:t>
      </w:r>
      <w:r w:rsidR="00691EB6" w:rsidRPr="00B314B1">
        <w:rPr>
          <w:rFonts w:ascii="Georgia" w:hAnsi="Georgia"/>
        </w:rPr>
        <w:t>.</w:t>
      </w:r>
      <w:r w:rsidR="00F6158E" w:rsidRPr="00B314B1">
        <w:rPr>
          <w:rFonts w:ascii="Georgia" w:hAnsi="Georgia"/>
        </w:rPr>
        <w:t xml:space="preserve"> </w:t>
      </w:r>
    </w:p>
    <w:p w:rsidR="00F6158E" w:rsidRPr="00B612A5" w:rsidRDefault="00F6158E" w:rsidP="00F6158E">
      <w:pPr>
        <w:pStyle w:val="Odstavecseseznamem"/>
        <w:numPr>
          <w:ilvl w:val="0"/>
          <w:numId w:val="19"/>
        </w:numPr>
        <w:spacing w:before="240" w:after="120" w:line="259" w:lineRule="auto"/>
        <w:contextualSpacing/>
        <w:jc w:val="both"/>
        <w:rPr>
          <w:rFonts w:ascii="Georgia" w:hAnsi="Georgia"/>
        </w:rPr>
      </w:pPr>
      <w:r w:rsidRPr="00B314B1">
        <w:rPr>
          <w:rFonts w:ascii="Georgia" w:hAnsi="Georgia"/>
        </w:rPr>
        <w:t xml:space="preserve">Pomoc </w:t>
      </w:r>
      <w:r w:rsidRPr="00763168">
        <w:rPr>
          <w:rFonts w:ascii="Georgia" w:hAnsi="Georgia"/>
          <w:b/>
        </w:rPr>
        <w:t>Ukrajině</w:t>
      </w:r>
      <w:r w:rsidRPr="00B314B1">
        <w:rPr>
          <w:rFonts w:ascii="Georgia" w:hAnsi="Georgia"/>
        </w:rPr>
        <w:t xml:space="preserve"> při</w:t>
      </w:r>
      <w:r w:rsidRPr="00B612A5">
        <w:rPr>
          <w:rFonts w:ascii="Georgia" w:hAnsi="Georgia"/>
        </w:rPr>
        <w:t xml:space="preserve"> obraně proti ruské agresi, priority ČR při obnově Ukrajiny bilaterálně i v rámci EU</w:t>
      </w:r>
      <w:r>
        <w:rPr>
          <w:rFonts w:ascii="Georgia" w:hAnsi="Georgia"/>
        </w:rPr>
        <w:t>.</w:t>
      </w:r>
      <w:r w:rsidRPr="00B612A5">
        <w:rPr>
          <w:rFonts w:ascii="Georgia" w:hAnsi="Georgia"/>
        </w:rPr>
        <w:t xml:space="preserve"> </w:t>
      </w:r>
    </w:p>
    <w:p w:rsidR="00F6158E" w:rsidRDefault="00F6158E" w:rsidP="00F6158E">
      <w:pPr>
        <w:pStyle w:val="Odstavecseseznamem"/>
        <w:numPr>
          <w:ilvl w:val="0"/>
          <w:numId w:val="19"/>
        </w:numPr>
        <w:spacing w:before="240" w:after="120" w:line="259" w:lineRule="auto"/>
        <w:contextualSpacing/>
        <w:jc w:val="both"/>
        <w:rPr>
          <w:rFonts w:ascii="Georgia" w:hAnsi="Georgia"/>
        </w:rPr>
      </w:pPr>
      <w:r w:rsidRPr="00141EA3">
        <w:rPr>
          <w:rFonts w:ascii="Georgia" w:hAnsi="Georgia"/>
        </w:rPr>
        <w:t xml:space="preserve">Nastavení nové politiky EU vůči </w:t>
      </w:r>
      <w:r w:rsidRPr="00763168">
        <w:rPr>
          <w:rFonts w:ascii="Georgia" w:hAnsi="Georgia"/>
          <w:b/>
        </w:rPr>
        <w:t>Rusku</w:t>
      </w:r>
      <w:r w:rsidRPr="00141EA3">
        <w:rPr>
          <w:rFonts w:ascii="Georgia" w:hAnsi="Georgia"/>
        </w:rPr>
        <w:t>, zájmy ČR, spolupráce s </w:t>
      </w:r>
      <w:proofErr w:type="spellStart"/>
      <w:r w:rsidRPr="00141EA3">
        <w:rPr>
          <w:rFonts w:ascii="Georgia" w:hAnsi="Georgia"/>
        </w:rPr>
        <w:t>like-minded</w:t>
      </w:r>
      <w:proofErr w:type="spellEnd"/>
      <w:r w:rsidRPr="00141EA3">
        <w:rPr>
          <w:rFonts w:ascii="Georgia" w:hAnsi="Georgia"/>
        </w:rPr>
        <w:t xml:space="preserve"> partnery</w:t>
      </w:r>
      <w:r>
        <w:rPr>
          <w:rFonts w:ascii="Georgia" w:hAnsi="Georgia"/>
        </w:rPr>
        <w:t>.</w:t>
      </w:r>
    </w:p>
    <w:p w:rsidR="006A44CB" w:rsidRPr="00F6158E" w:rsidRDefault="003B6C02" w:rsidP="003B6C02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before="240" w:after="160" w:line="259" w:lineRule="auto"/>
        <w:contextualSpacing/>
        <w:jc w:val="both"/>
        <w:rPr>
          <w:rFonts w:ascii="Georgia" w:hAnsi="Georgia"/>
          <w:b/>
        </w:rPr>
      </w:pPr>
      <w:r w:rsidRPr="004D0EEB">
        <w:rPr>
          <w:rFonts w:ascii="Georgia" w:hAnsi="Georgia"/>
        </w:rPr>
        <w:t>Priority a zájmy ČR ve vztahu k</w:t>
      </w:r>
      <w:r w:rsidR="00691EB6">
        <w:rPr>
          <w:rFonts w:ascii="Georgia" w:hAnsi="Georgia"/>
        </w:rPr>
        <w:t> </w:t>
      </w:r>
      <w:r w:rsidRPr="00763168">
        <w:rPr>
          <w:rFonts w:ascii="Georgia" w:hAnsi="Georgia"/>
          <w:b/>
        </w:rPr>
        <w:t>rozš</w:t>
      </w:r>
      <w:r w:rsidR="00691EB6" w:rsidRPr="00763168">
        <w:rPr>
          <w:rFonts w:ascii="Georgia" w:hAnsi="Georgia"/>
          <w:b/>
        </w:rPr>
        <w:t xml:space="preserve">íření </w:t>
      </w:r>
      <w:r w:rsidRPr="00763168">
        <w:rPr>
          <w:rFonts w:ascii="Georgia" w:hAnsi="Georgia"/>
          <w:b/>
        </w:rPr>
        <w:t>EU</w:t>
      </w:r>
      <w:r w:rsidR="00731617">
        <w:rPr>
          <w:rFonts w:ascii="Georgia" w:hAnsi="Georgia"/>
        </w:rPr>
        <w:t>, ve světle volání po vnitřní reformě mechanismů EU</w:t>
      </w:r>
      <w:r w:rsidR="00691EB6">
        <w:rPr>
          <w:rFonts w:ascii="Georgia" w:hAnsi="Georgia"/>
        </w:rPr>
        <w:t>.</w:t>
      </w:r>
    </w:p>
    <w:p w:rsidR="00F6158E" w:rsidRPr="00141EA3" w:rsidRDefault="00F6158E" w:rsidP="003B6C02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before="240" w:after="160" w:line="259" w:lineRule="auto"/>
        <w:contextualSpacing/>
        <w:jc w:val="both"/>
        <w:rPr>
          <w:rFonts w:ascii="Georgia" w:hAnsi="Georgia"/>
          <w:b/>
        </w:rPr>
      </w:pPr>
      <w:r w:rsidRPr="00B612A5">
        <w:rPr>
          <w:rFonts w:ascii="Georgia" w:hAnsi="Georgia"/>
        </w:rPr>
        <w:t>Důsledky RU agrese na Ukrajině v </w:t>
      </w:r>
      <w:r w:rsidRPr="00763168">
        <w:rPr>
          <w:rFonts w:ascii="Georgia" w:hAnsi="Georgia"/>
          <w:b/>
        </w:rPr>
        <w:t>globální bezpečnosti</w:t>
      </w:r>
      <w:r w:rsidRPr="00B612A5"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r w:rsidRPr="00B612A5">
        <w:rPr>
          <w:rFonts w:ascii="Georgia" w:hAnsi="Georgia"/>
        </w:rPr>
        <w:t>strategická koncepce NATO a strategický kompas EU – stav provádění a výhled, rizika a příležitosti, synergie EU-NATO</w:t>
      </w:r>
      <w:r>
        <w:rPr>
          <w:rFonts w:ascii="Georgia" w:hAnsi="Georgia"/>
        </w:rPr>
        <w:t>.</w:t>
      </w:r>
    </w:p>
    <w:p w:rsidR="00B612A5" w:rsidRDefault="00B612A5" w:rsidP="00B612A5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before="240" w:after="160" w:line="259" w:lineRule="auto"/>
        <w:contextualSpacing/>
        <w:jc w:val="both"/>
        <w:rPr>
          <w:rFonts w:ascii="Georgia" w:hAnsi="Georgia"/>
          <w:b/>
        </w:rPr>
      </w:pPr>
      <w:r w:rsidRPr="00763168">
        <w:rPr>
          <w:rFonts w:ascii="Georgia" w:hAnsi="Georgia"/>
          <w:b/>
        </w:rPr>
        <w:t>Transatlantické partnerství</w:t>
      </w:r>
      <w:r>
        <w:rPr>
          <w:rFonts w:ascii="Georgia" w:hAnsi="Georgia"/>
        </w:rPr>
        <w:t xml:space="preserve"> – </w:t>
      </w:r>
      <w:r w:rsidR="00C421B5">
        <w:rPr>
          <w:rFonts w:ascii="Georgia" w:hAnsi="Georgia"/>
        </w:rPr>
        <w:t>ruská válka na Ukrajině vprostřed trendu amerického odklonu k</w:t>
      </w:r>
      <w:r w:rsidR="00B314B1">
        <w:rPr>
          <w:rFonts w:ascii="Georgia" w:hAnsi="Georgia"/>
        </w:rPr>
        <w:t> </w:t>
      </w:r>
      <w:proofErr w:type="spellStart"/>
      <w:r w:rsidR="00C421B5">
        <w:rPr>
          <w:rFonts w:ascii="Georgia" w:hAnsi="Georgia"/>
        </w:rPr>
        <w:t>Indo</w:t>
      </w:r>
      <w:proofErr w:type="spellEnd"/>
      <w:r w:rsidR="00B314B1">
        <w:rPr>
          <w:rFonts w:ascii="Georgia" w:hAnsi="Georgia"/>
        </w:rPr>
        <w:t>-Pa</w:t>
      </w:r>
      <w:r w:rsidR="00C421B5">
        <w:rPr>
          <w:rFonts w:ascii="Georgia" w:hAnsi="Georgia"/>
        </w:rPr>
        <w:t>cifiku</w:t>
      </w:r>
      <w:r>
        <w:rPr>
          <w:rFonts w:ascii="Georgia" w:hAnsi="Georgia"/>
        </w:rPr>
        <w:t>, české zájmy, rizika a příležitosti.</w:t>
      </w:r>
      <w:r>
        <w:rPr>
          <w:rFonts w:ascii="Georgia" w:hAnsi="Georgia"/>
          <w:b/>
        </w:rPr>
        <w:t xml:space="preserve"> </w:t>
      </w:r>
    </w:p>
    <w:p w:rsidR="00B612A5" w:rsidRDefault="00B612A5" w:rsidP="00B612A5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before="240" w:after="160" w:line="259" w:lineRule="auto"/>
        <w:contextualSpacing/>
        <w:jc w:val="both"/>
        <w:rPr>
          <w:rFonts w:ascii="Georgia" w:hAnsi="Georgia"/>
        </w:rPr>
      </w:pPr>
      <w:r w:rsidRPr="004652FD">
        <w:rPr>
          <w:rFonts w:ascii="Georgia" w:hAnsi="Georgia"/>
        </w:rPr>
        <w:t xml:space="preserve">Vztah </w:t>
      </w:r>
      <w:r w:rsidRPr="00763168">
        <w:rPr>
          <w:rFonts w:ascii="Georgia" w:hAnsi="Georgia"/>
          <w:b/>
        </w:rPr>
        <w:t>EU</w:t>
      </w:r>
      <w:r w:rsidR="00905A53" w:rsidRPr="00763168">
        <w:rPr>
          <w:rFonts w:ascii="Georgia" w:hAnsi="Georgia"/>
          <w:b/>
        </w:rPr>
        <w:t>-</w:t>
      </w:r>
      <w:r w:rsidRPr="00763168">
        <w:rPr>
          <w:rFonts w:ascii="Georgia" w:hAnsi="Georgia"/>
          <w:b/>
        </w:rPr>
        <w:t>UK</w:t>
      </w:r>
      <w:r>
        <w:rPr>
          <w:rFonts w:ascii="Georgia" w:hAnsi="Georgia"/>
        </w:rPr>
        <w:t xml:space="preserve">: </w:t>
      </w:r>
      <w:r w:rsidR="00C421B5">
        <w:rPr>
          <w:rFonts w:ascii="Georgia" w:hAnsi="Georgia"/>
        </w:rPr>
        <w:t>kam a jak dále</w:t>
      </w:r>
      <w:r>
        <w:rPr>
          <w:rFonts w:ascii="Georgia" w:hAnsi="Georgia"/>
        </w:rPr>
        <w:t>, české zájmy, rizika a příležitosti.</w:t>
      </w:r>
    </w:p>
    <w:p w:rsidR="009158C7" w:rsidRPr="00141EA3" w:rsidRDefault="009158C7" w:rsidP="003B6C02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before="240" w:after="160" w:line="259" w:lineRule="auto"/>
        <w:contextualSpacing/>
        <w:jc w:val="both"/>
        <w:rPr>
          <w:rFonts w:ascii="Georgia" w:hAnsi="Georgia"/>
          <w:b/>
        </w:rPr>
      </w:pPr>
      <w:r w:rsidRPr="00141EA3">
        <w:rPr>
          <w:rFonts w:ascii="Georgia" w:hAnsi="Georgia"/>
        </w:rPr>
        <w:t>Posilování strategického zapojení v </w:t>
      </w:r>
      <w:proofErr w:type="spellStart"/>
      <w:r w:rsidRPr="00763168">
        <w:rPr>
          <w:rFonts w:ascii="Georgia" w:hAnsi="Georgia"/>
          <w:b/>
        </w:rPr>
        <w:t>indo</w:t>
      </w:r>
      <w:proofErr w:type="spellEnd"/>
      <w:r w:rsidRPr="00763168">
        <w:rPr>
          <w:rFonts w:ascii="Georgia" w:hAnsi="Georgia"/>
          <w:b/>
        </w:rPr>
        <w:t>-pacifickém regionu</w:t>
      </w:r>
      <w:r w:rsidRPr="00141EA3">
        <w:rPr>
          <w:rFonts w:ascii="Georgia" w:hAnsi="Georgia"/>
        </w:rPr>
        <w:t xml:space="preserve"> (</w:t>
      </w:r>
      <w:r w:rsidRPr="00141EA3">
        <w:rPr>
          <w:rStyle w:val="slostrnky"/>
          <w:rFonts w:ascii="Georgia" w:hAnsi="Georgia" w:cs="Arial"/>
          <w:bCs/>
        </w:rPr>
        <w:t>implementace „EU-</w:t>
      </w:r>
      <w:proofErr w:type="spellStart"/>
      <w:r w:rsidRPr="00141EA3">
        <w:rPr>
          <w:rStyle w:val="slostrnky"/>
          <w:rFonts w:ascii="Georgia" w:hAnsi="Georgia" w:cs="Arial"/>
          <w:bCs/>
        </w:rPr>
        <w:t>Asia</w:t>
      </w:r>
      <w:proofErr w:type="spellEnd"/>
      <w:r w:rsidRPr="00141EA3">
        <w:rPr>
          <w:rStyle w:val="slostrnky"/>
          <w:rFonts w:ascii="Georgia" w:hAnsi="Georgia" w:cs="Arial"/>
          <w:bCs/>
        </w:rPr>
        <w:t xml:space="preserve"> </w:t>
      </w:r>
      <w:proofErr w:type="spellStart"/>
      <w:r w:rsidRPr="00141EA3">
        <w:rPr>
          <w:rStyle w:val="slostrnky"/>
          <w:rFonts w:ascii="Georgia" w:hAnsi="Georgia" w:cs="Arial"/>
          <w:bCs/>
        </w:rPr>
        <w:t>Connectivity</w:t>
      </w:r>
      <w:proofErr w:type="spellEnd"/>
      <w:r w:rsidRPr="00141EA3">
        <w:rPr>
          <w:rStyle w:val="slostrnky"/>
          <w:rFonts w:ascii="Georgia" w:hAnsi="Georgia" w:cs="Arial"/>
          <w:bCs/>
        </w:rPr>
        <w:t xml:space="preserve"> </w:t>
      </w:r>
      <w:proofErr w:type="spellStart"/>
      <w:r w:rsidRPr="00141EA3">
        <w:rPr>
          <w:rStyle w:val="slostrnky"/>
          <w:rFonts w:ascii="Georgia" w:hAnsi="Georgia" w:cs="Arial"/>
          <w:bCs/>
        </w:rPr>
        <w:t>Strategy</w:t>
      </w:r>
      <w:proofErr w:type="spellEnd"/>
      <w:r w:rsidRPr="00141EA3">
        <w:rPr>
          <w:rStyle w:val="slostrnky"/>
          <w:rFonts w:ascii="Georgia" w:hAnsi="Georgia" w:cs="Arial"/>
          <w:bCs/>
        </w:rPr>
        <w:t>“)</w:t>
      </w:r>
    </w:p>
    <w:p w:rsidR="00885EDD" w:rsidRPr="00E853DC" w:rsidRDefault="00885EDD" w:rsidP="00E853DC">
      <w:pPr>
        <w:pStyle w:val="Odstavecseseznamem"/>
        <w:numPr>
          <w:ilvl w:val="0"/>
          <w:numId w:val="19"/>
        </w:numPr>
        <w:spacing w:before="240" w:after="120" w:line="259" w:lineRule="auto"/>
        <w:contextualSpacing/>
        <w:jc w:val="both"/>
        <w:rPr>
          <w:rFonts w:ascii="Georgia" w:hAnsi="Georgia"/>
        </w:rPr>
      </w:pPr>
      <w:r w:rsidRPr="00E853DC">
        <w:rPr>
          <w:rFonts w:ascii="Georgia" w:hAnsi="Georgia"/>
        </w:rPr>
        <w:t xml:space="preserve">Otázky prvotních příčin </w:t>
      </w:r>
      <w:r w:rsidRPr="00763168">
        <w:rPr>
          <w:rFonts w:ascii="Georgia" w:hAnsi="Georgia"/>
          <w:b/>
        </w:rPr>
        <w:t>migrace</w:t>
      </w:r>
      <w:r w:rsidRPr="00E853DC">
        <w:rPr>
          <w:rFonts w:ascii="Georgia" w:hAnsi="Georgia"/>
        </w:rPr>
        <w:t xml:space="preserve"> (tzv. </w:t>
      </w:r>
      <w:proofErr w:type="spellStart"/>
      <w:r w:rsidRPr="00E853DC">
        <w:rPr>
          <w:rFonts w:ascii="Georgia" w:hAnsi="Georgia"/>
        </w:rPr>
        <w:t>root</w:t>
      </w:r>
      <w:proofErr w:type="spellEnd"/>
      <w:r w:rsidRPr="00E853DC">
        <w:rPr>
          <w:rFonts w:ascii="Georgia" w:hAnsi="Georgia"/>
        </w:rPr>
        <w:t xml:space="preserve"> </w:t>
      </w:r>
      <w:proofErr w:type="spellStart"/>
      <w:r w:rsidRPr="00E853DC">
        <w:rPr>
          <w:rFonts w:ascii="Georgia" w:hAnsi="Georgia"/>
        </w:rPr>
        <w:t>causes</w:t>
      </w:r>
      <w:proofErr w:type="spellEnd"/>
      <w:r w:rsidRPr="00E853DC">
        <w:rPr>
          <w:rFonts w:ascii="Georgia" w:hAnsi="Georgia"/>
        </w:rPr>
        <w:t xml:space="preserve"> nebo </w:t>
      </w:r>
      <w:proofErr w:type="spellStart"/>
      <w:r w:rsidRPr="00E853DC">
        <w:rPr>
          <w:rFonts w:ascii="Georgia" w:hAnsi="Georgia"/>
        </w:rPr>
        <w:t>push-factors</w:t>
      </w:r>
      <w:proofErr w:type="spellEnd"/>
      <w:r w:rsidRPr="00E853DC">
        <w:rPr>
          <w:rFonts w:ascii="Georgia" w:hAnsi="Georgia"/>
        </w:rPr>
        <w:t>) a nuceného vysídlení ve zdrojových zemích migrace a možnosti přispění zahraniční politiky k efektivnímu managementu migračních toků a migrační politiky, prevence konfliktů, přístupy členských zemí EU k</w:t>
      </w:r>
      <w:r w:rsidR="00691EB6">
        <w:rPr>
          <w:rFonts w:ascii="Georgia" w:hAnsi="Georgia"/>
        </w:rPr>
        <w:t> </w:t>
      </w:r>
      <w:r w:rsidRPr="00E853DC">
        <w:rPr>
          <w:rFonts w:ascii="Georgia" w:hAnsi="Georgia"/>
        </w:rPr>
        <w:t>migraci</w:t>
      </w:r>
      <w:r w:rsidR="00691EB6">
        <w:rPr>
          <w:rFonts w:ascii="Georgia" w:hAnsi="Georgia"/>
        </w:rPr>
        <w:t>.</w:t>
      </w:r>
    </w:p>
    <w:p w:rsidR="00953BD2" w:rsidRPr="00953BD2" w:rsidRDefault="00953BD2" w:rsidP="00953BD2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4"/>
          <w:szCs w:val="24"/>
          <w:lang w:eastAsia="cs-CZ"/>
        </w:rPr>
      </w:pPr>
    </w:p>
    <w:p w:rsidR="008F7CF2" w:rsidRDefault="008F7CF2" w:rsidP="008F7CF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Georgia" w:hAnsi="Georgia"/>
          <w:b/>
          <w:bCs/>
          <w:color w:val="000000"/>
          <w:sz w:val="28"/>
          <w:szCs w:val="28"/>
          <w:u w:val="single"/>
          <w:lang w:eastAsia="cs-CZ"/>
        </w:rPr>
      </w:pPr>
      <w:r w:rsidRPr="00AD4B84">
        <w:rPr>
          <w:rFonts w:ascii="Georgia" w:hAnsi="Georgia"/>
          <w:b/>
          <w:bCs/>
          <w:color w:val="000000"/>
          <w:sz w:val="28"/>
          <w:szCs w:val="28"/>
          <w:u w:val="single"/>
          <w:lang w:eastAsia="cs-CZ"/>
        </w:rPr>
        <w:t xml:space="preserve">Bezpečnost </w:t>
      </w:r>
    </w:p>
    <w:p w:rsidR="00B612A5" w:rsidRDefault="003E3BEE" w:rsidP="008F7CF2">
      <w:pPr>
        <w:pStyle w:val="Odstavecseseznamem"/>
        <w:numPr>
          <w:ilvl w:val="0"/>
          <w:numId w:val="10"/>
        </w:numPr>
        <w:tabs>
          <w:tab w:val="left" w:pos="709"/>
        </w:tabs>
        <w:spacing w:before="120" w:after="120" w:line="240" w:lineRule="auto"/>
        <w:contextualSpacing/>
        <w:jc w:val="both"/>
        <w:rPr>
          <w:rFonts w:ascii="Georgia" w:hAnsi="Georgia"/>
        </w:rPr>
      </w:pPr>
      <w:r>
        <w:rPr>
          <w:rFonts w:ascii="Georgia" w:hAnsi="Georgia"/>
        </w:rPr>
        <w:t>Možné konkrétní iniciativy: p</w:t>
      </w:r>
      <w:r w:rsidR="008F7CF2" w:rsidRPr="00B612A5">
        <w:rPr>
          <w:rFonts w:ascii="Georgia" w:hAnsi="Georgia"/>
        </w:rPr>
        <w:t xml:space="preserve">osilování strategického trojúhelníku </w:t>
      </w:r>
      <w:r w:rsidR="008F7CF2" w:rsidRPr="00763168">
        <w:rPr>
          <w:rFonts w:ascii="Georgia" w:hAnsi="Georgia"/>
          <w:b/>
        </w:rPr>
        <w:t>EU-US-NATO</w:t>
      </w:r>
      <w:r w:rsidR="00691EB6">
        <w:rPr>
          <w:rFonts w:ascii="Georgia" w:hAnsi="Georgia"/>
        </w:rPr>
        <w:t>.</w:t>
      </w:r>
      <w:r w:rsidR="008F7CF2" w:rsidRPr="00B612A5">
        <w:rPr>
          <w:rFonts w:ascii="Georgia" w:hAnsi="Georgia"/>
        </w:rPr>
        <w:t xml:space="preserve"> </w:t>
      </w:r>
    </w:p>
    <w:p w:rsidR="00DF6030" w:rsidRPr="0037691A" w:rsidRDefault="00691EB6" w:rsidP="008F7CF2">
      <w:pPr>
        <w:pStyle w:val="Odstavecseseznamem"/>
        <w:numPr>
          <w:ilvl w:val="0"/>
          <w:numId w:val="10"/>
        </w:numPr>
        <w:spacing w:before="240" w:after="120" w:line="259" w:lineRule="auto"/>
        <w:contextualSpacing/>
        <w:jc w:val="both"/>
        <w:rPr>
          <w:rFonts w:ascii="Georgia" w:hAnsi="Georgia"/>
        </w:rPr>
      </w:pPr>
      <w:r w:rsidRPr="00763168">
        <w:rPr>
          <w:rFonts w:ascii="Georgia" w:hAnsi="Georgia" w:cs="Calibri"/>
          <w:b/>
          <w:bCs/>
          <w:shd w:val="clear" w:color="auto" w:fill="FFFFFF" w:themeFill="background1"/>
        </w:rPr>
        <w:t>E</w:t>
      </w:r>
      <w:r w:rsidR="00DF6030" w:rsidRPr="00763168">
        <w:rPr>
          <w:rFonts w:ascii="Georgia" w:hAnsi="Georgia" w:cs="Calibri"/>
          <w:b/>
          <w:bCs/>
          <w:shd w:val="clear" w:color="auto" w:fill="FFFFFF" w:themeFill="background1"/>
        </w:rPr>
        <w:t xml:space="preserve">nergetická </w:t>
      </w:r>
      <w:r w:rsidR="00813218" w:rsidRPr="00763168">
        <w:rPr>
          <w:rFonts w:ascii="Georgia" w:hAnsi="Georgia" w:cs="Calibri"/>
          <w:b/>
          <w:bCs/>
          <w:shd w:val="clear" w:color="auto" w:fill="FFFFFF" w:themeFill="background1"/>
        </w:rPr>
        <w:t>krize</w:t>
      </w:r>
      <w:r w:rsidR="00813218">
        <w:rPr>
          <w:rFonts w:ascii="Georgia" w:hAnsi="Georgia" w:cs="Calibri"/>
          <w:bCs/>
          <w:shd w:val="clear" w:color="auto" w:fill="FFFFFF" w:themeFill="background1"/>
        </w:rPr>
        <w:t xml:space="preserve"> </w:t>
      </w:r>
      <w:r w:rsidR="003E3BEE">
        <w:rPr>
          <w:rFonts w:ascii="Georgia" w:hAnsi="Georgia" w:cs="Calibri"/>
          <w:bCs/>
          <w:shd w:val="clear" w:color="auto" w:fill="FFFFFF" w:themeFill="background1"/>
        </w:rPr>
        <w:t xml:space="preserve">kvůli ruské válce </w:t>
      </w:r>
      <w:r w:rsidR="00813218">
        <w:rPr>
          <w:rFonts w:ascii="Georgia" w:hAnsi="Georgia" w:cs="Calibri"/>
          <w:bCs/>
          <w:shd w:val="clear" w:color="auto" w:fill="FFFFFF" w:themeFill="background1"/>
        </w:rPr>
        <w:t xml:space="preserve">– dlouhodobé dopady na koncept </w:t>
      </w:r>
      <w:r w:rsidR="003E3BEE">
        <w:rPr>
          <w:rFonts w:ascii="Georgia" w:hAnsi="Georgia" w:cs="Calibri"/>
          <w:bCs/>
          <w:shd w:val="clear" w:color="auto" w:fill="FFFFFF" w:themeFill="background1"/>
        </w:rPr>
        <w:t xml:space="preserve">evropské a mezinárodní </w:t>
      </w:r>
      <w:r w:rsidR="00DF6030" w:rsidRPr="00F41CC3">
        <w:rPr>
          <w:rFonts w:ascii="Georgia" w:hAnsi="Georgia" w:cs="Calibri"/>
          <w:bCs/>
          <w:shd w:val="clear" w:color="auto" w:fill="FFFFFF" w:themeFill="background1"/>
        </w:rPr>
        <w:t>bezpečnost</w:t>
      </w:r>
      <w:r w:rsidR="003E3BEE">
        <w:rPr>
          <w:rFonts w:ascii="Georgia" w:hAnsi="Georgia" w:cs="Calibri"/>
          <w:bCs/>
          <w:shd w:val="clear" w:color="auto" w:fill="FFFFFF" w:themeFill="background1"/>
        </w:rPr>
        <w:t>i</w:t>
      </w:r>
    </w:p>
    <w:p w:rsidR="008F7CF2" w:rsidRPr="00141EA3" w:rsidRDefault="00813218" w:rsidP="008F7CF2">
      <w:pPr>
        <w:pStyle w:val="Odstavecseseznamem"/>
        <w:numPr>
          <w:ilvl w:val="0"/>
          <w:numId w:val="10"/>
        </w:numPr>
        <w:spacing w:before="240" w:after="120" w:line="259" w:lineRule="auto"/>
        <w:contextualSpacing/>
        <w:jc w:val="both"/>
        <w:rPr>
          <w:rFonts w:ascii="Georgia" w:hAnsi="Georgia"/>
        </w:rPr>
      </w:pPr>
      <w:r w:rsidRPr="00763168">
        <w:rPr>
          <w:rFonts w:ascii="Georgia" w:hAnsi="Georgia"/>
          <w:b/>
        </w:rPr>
        <w:t>H</w:t>
      </w:r>
      <w:r w:rsidR="008F7CF2" w:rsidRPr="00763168">
        <w:rPr>
          <w:rFonts w:ascii="Georgia" w:hAnsi="Georgia"/>
          <w:b/>
        </w:rPr>
        <w:t>ybridní působení</w:t>
      </w:r>
      <w:r w:rsidR="008F7CF2">
        <w:rPr>
          <w:rFonts w:ascii="Georgia" w:hAnsi="Georgia"/>
        </w:rPr>
        <w:t xml:space="preserve">; </w:t>
      </w:r>
      <w:r>
        <w:rPr>
          <w:rFonts w:ascii="Georgia" w:hAnsi="Georgia"/>
        </w:rPr>
        <w:t xml:space="preserve">jak zvyšovat odolnost v rámci EU a NATO - </w:t>
      </w:r>
      <w:r w:rsidR="008F7CF2">
        <w:rPr>
          <w:rFonts w:ascii="Georgia" w:hAnsi="Georgia"/>
        </w:rPr>
        <w:t>spolupráce s</w:t>
      </w:r>
      <w:r w:rsidR="009218C5">
        <w:rPr>
          <w:rFonts w:ascii="Georgia" w:hAnsi="Georgia"/>
        </w:rPr>
        <w:t> evropskými i mimoevropskými partnery</w:t>
      </w:r>
      <w:r w:rsidR="00691EB6">
        <w:rPr>
          <w:rFonts w:ascii="Georgia" w:hAnsi="Georgia"/>
        </w:rPr>
        <w:t>.</w:t>
      </w:r>
    </w:p>
    <w:p w:rsidR="00141EA3" w:rsidRPr="00B314B1" w:rsidRDefault="003E3BEE" w:rsidP="008F7CF2">
      <w:pPr>
        <w:pStyle w:val="Odstavecseseznamem"/>
        <w:numPr>
          <w:ilvl w:val="0"/>
          <w:numId w:val="19"/>
        </w:numPr>
        <w:tabs>
          <w:tab w:val="left" w:pos="709"/>
        </w:tabs>
        <w:spacing w:before="120" w:after="120" w:line="240" w:lineRule="auto"/>
        <w:contextualSpacing/>
        <w:jc w:val="both"/>
        <w:rPr>
          <w:rFonts w:ascii="Georgia" w:hAnsi="Georgia"/>
          <w:b/>
          <w:bCs/>
          <w:color w:val="000000"/>
          <w:lang w:eastAsia="cs-CZ"/>
        </w:rPr>
      </w:pPr>
      <w:r w:rsidRPr="00763168">
        <w:rPr>
          <w:rFonts w:ascii="Georgia" w:eastAsiaTheme="minorHAnsi" w:hAnsi="Georgia" w:cs="Georgia"/>
          <w:b/>
          <w:color w:val="000000"/>
        </w:rPr>
        <w:t>K</w:t>
      </w:r>
      <w:r w:rsidR="00141EA3" w:rsidRPr="00763168">
        <w:rPr>
          <w:rFonts w:ascii="Georgia" w:eastAsiaTheme="minorHAnsi" w:hAnsi="Georgia" w:cs="Georgia"/>
          <w:b/>
          <w:color w:val="000000"/>
        </w:rPr>
        <w:t>limatick</w:t>
      </w:r>
      <w:r w:rsidRPr="00763168">
        <w:rPr>
          <w:rFonts w:ascii="Georgia" w:eastAsiaTheme="minorHAnsi" w:hAnsi="Georgia" w:cs="Georgia"/>
          <w:b/>
          <w:color w:val="000000"/>
        </w:rPr>
        <w:t>á</w:t>
      </w:r>
      <w:r w:rsidR="00141EA3" w:rsidRPr="00763168">
        <w:rPr>
          <w:rFonts w:ascii="Georgia" w:eastAsiaTheme="minorHAnsi" w:hAnsi="Georgia" w:cs="Georgia"/>
          <w:b/>
          <w:color w:val="000000"/>
        </w:rPr>
        <w:t xml:space="preserve"> změn</w:t>
      </w:r>
      <w:r w:rsidRPr="00763168">
        <w:rPr>
          <w:rFonts w:ascii="Georgia" w:eastAsiaTheme="minorHAnsi" w:hAnsi="Georgia" w:cs="Georgia"/>
          <w:b/>
          <w:color w:val="000000"/>
        </w:rPr>
        <w:t>a</w:t>
      </w:r>
      <w:r w:rsidR="00141EA3" w:rsidRPr="00141EA3">
        <w:rPr>
          <w:rFonts w:ascii="Georgia" w:eastAsiaTheme="minorHAnsi" w:hAnsi="Georgia" w:cs="Georgia"/>
          <w:color w:val="000000"/>
        </w:rPr>
        <w:t xml:space="preserve">; </w:t>
      </w:r>
      <w:r w:rsidR="00141EA3">
        <w:rPr>
          <w:rFonts w:ascii="Georgia" w:eastAsiaTheme="minorHAnsi" w:hAnsi="Georgia" w:cs="Helv"/>
          <w:color w:val="000000"/>
        </w:rPr>
        <w:t>g</w:t>
      </w:r>
      <w:r w:rsidR="00141EA3" w:rsidRPr="00141EA3">
        <w:rPr>
          <w:rFonts w:ascii="Georgia" w:eastAsiaTheme="minorHAnsi" w:hAnsi="Georgia" w:cs="Helv"/>
          <w:color w:val="000000"/>
        </w:rPr>
        <w:t xml:space="preserve">eopolitické a bezpečnostní dopady </w:t>
      </w:r>
      <w:r w:rsidR="00813218">
        <w:rPr>
          <w:rFonts w:ascii="Georgia" w:eastAsiaTheme="minorHAnsi" w:hAnsi="Georgia" w:cs="Helv"/>
          <w:color w:val="000000"/>
        </w:rPr>
        <w:t xml:space="preserve">zelené transformace a </w:t>
      </w:r>
      <w:r w:rsidR="00141EA3" w:rsidRPr="00141EA3">
        <w:rPr>
          <w:rFonts w:ascii="Georgia" w:eastAsiaTheme="minorHAnsi" w:hAnsi="Georgia" w:cs="Helv"/>
          <w:color w:val="000000"/>
        </w:rPr>
        <w:t>dekarbonizace</w:t>
      </w:r>
      <w:r w:rsidR="00813218">
        <w:rPr>
          <w:rFonts w:ascii="Georgia" w:eastAsiaTheme="minorHAnsi" w:hAnsi="Georgia" w:cs="Helv"/>
          <w:color w:val="000000"/>
        </w:rPr>
        <w:t>; kontext aktuální energetické krize</w:t>
      </w:r>
      <w:r w:rsidR="00691EB6">
        <w:rPr>
          <w:rFonts w:ascii="Georgia" w:eastAsiaTheme="minorHAnsi" w:hAnsi="Georgia" w:cs="Helv"/>
          <w:color w:val="000000"/>
        </w:rPr>
        <w:t>.</w:t>
      </w:r>
      <w:r w:rsidR="00141EA3" w:rsidRPr="00141EA3">
        <w:rPr>
          <w:rFonts w:ascii="Georgia" w:eastAsiaTheme="minorHAnsi" w:hAnsi="Georgia" w:cs="Helv"/>
          <w:color w:val="000000"/>
        </w:rPr>
        <w:t xml:space="preserve"> </w:t>
      </w:r>
    </w:p>
    <w:p w:rsidR="00B314B1" w:rsidRDefault="00B314B1" w:rsidP="00B314B1">
      <w:pPr>
        <w:tabs>
          <w:tab w:val="left" w:pos="709"/>
        </w:tabs>
        <w:spacing w:before="120" w:after="120" w:line="240" w:lineRule="auto"/>
        <w:contextualSpacing/>
        <w:jc w:val="both"/>
        <w:rPr>
          <w:rFonts w:ascii="Georgia" w:hAnsi="Georgia"/>
          <w:b/>
          <w:bCs/>
          <w:color w:val="000000"/>
          <w:lang w:eastAsia="cs-CZ"/>
        </w:rPr>
      </w:pPr>
    </w:p>
    <w:p w:rsidR="00B314B1" w:rsidRPr="00B314B1" w:rsidRDefault="00B314B1" w:rsidP="00B314B1">
      <w:pPr>
        <w:tabs>
          <w:tab w:val="left" w:pos="709"/>
        </w:tabs>
        <w:spacing w:before="120" w:after="120" w:line="240" w:lineRule="auto"/>
        <w:contextualSpacing/>
        <w:jc w:val="both"/>
        <w:rPr>
          <w:rFonts w:ascii="Georgia" w:hAnsi="Georgia"/>
          <w:b/>
          <w:bCs/>
          <w:color w:val="000000"/>
          <w:lang w:eastAsia="cs-CZ"/>
        </w:rPr>
      </w:pPr>
    </w:p>
    <w:p w:rsidR="00EA1DAF" w:rsidRPr="00E853DC" w:rsidRDefault="00813218" w:rsidP="00F41CC3">
      <w:pPr>
        <w:pStyle w:val="Odstavecseseznamem"/>
        <w:numPr>
          <w:ilvl w:val="0"/>
          <w:numId w:val="19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lang w:eastAsia="cs-CZ"/>
        </w:rPr>
        <w:lastRenderedPageBreak/>
        <w:t xml:space="preserve">Konkrétní perspektivy a možnosti: </w:t>
      </w:r>
      <w:r w:rsidR="00F03656" w:rsidRPr="00763168">
        <w:rPr>
          <w:rFonts w:ascii="Georgia" w:hAnsi="Georgia"/>
          <w:b/>
          <w:shd w:val="clear" w:color="auto" w:fill="FFFFFF" w:themeFill="background1"/>
        </w:rPr>
        <w:t>strategick</w:t>
      </w:r>
      <w:r w:rsidRPr="00763168">
        <w:rPr>
          <w:rFonts w:ascii="Georgia" w:hAnsi="Georgia"/>
          <w:b/>
          <w:shd w:val="clear" w:color="auto" w:fill="FFFFFF" w:themeFill="background1"/>
        </w:rPr>
        <w:t>á</w:t>
      </w:r>
      <w:r w:rsidR="00F03656" w:rsidRPr="00763168">
        <w:rPr>
          <w:rFonts w:ascii="Georgia" w:hAnsi="Georgia"/>
          <w:b/>
          <w:shd w:val="clear" w:color="auto" w:fill="FFFFFF" w:themeFill="background1"/>
        </w:rPr>
        <w:t xml:space="preserve"> komunikace</w:t>
      </w:r>
      <w:r w:rsidR="00F03656" w:rsidRPr="00F41CC3">
        <w:rPr>
          <w:rFonts w:ascii="Georgia" w:hAnsi="Georgia"/>
          <w:shd w:val="clear" w:color="auto" w:fill="FFFFFF" w:themeFill="background1"/>
        </w:rPr>
        <w:t>,</w:t>
      </w:r>
      <w:r w:rsidR="00F03656" w:rsidRPr="00F03656">
        <w:rPr>
          <w:rFonts w:ascii="Georgia" w:hAnsi="Georgia"/>
          <w:shd w:val="clear" w:color="auto" w:fill="FFFFFF" w:themeFill="background1"/>
        </w:rPr>
        <w:t xml:space="preserve"> informační války, čelení desinformacím, využívání médií, </w:t>
      </w:r>
      <w:r>
        <w:rPr>
          <w:rFonts w:ascii="Georgia" w:hAnsi="Georgia"/>
          <w:shd w:val="clear" w:color="auto" w:fill="FFFFFF" w:themeFill="background1"/>
        </w:rPr>
        <w:t xml:space="preserve">a </w:t>
      </w:r>
      <w:r w:rsidR="00F03656" w:rsidRPr="00F03656">
        <w:rPr>
          <w:rFonts w:ascii="Georgia" w:hAnsi="Georgia"/>
          <w:shd w:val="clear" w:color="auto" w:fill="FFFFFF" w:themeFill="background1"/>
        </w:rPr>
        <w:t>role sociálních sítí</w:t>
      </w:r>
      <w:r>
        <w:rPr>
          <w:rFonts w:ascii="Georgia" w:hAnsi="Georgia"/>
          <w:shd w:val="clear" w:color="auto" w:fill="FFFFFF" w:themeFill="background1"/>
        </w:rPr>
        <w:t xml:space="preserve"> – posilování odolnosti společností</w:t>
      </w:r>
      <w:r w:rsidR="00EA1DAF">
        <w:rPr>
          <w:rFonts w:ascii="Georgia" w:hAnsi="Georgia"/>
          <w:shd w:val="clear" w:color="auto" w:fill="FFFFFF" w:themeFill="background1"/>
        </w:rPr>
        <w:t>.</w:t>
      </w:r>
      <w:r w:rsidR="00F41CC3">
        <w:rPr>
          <w:rFonts w:ascii="Georgia" w:hAnsi="Georgia"/>
          <w:shd w:val="clear" w:color="auto" w:fill="FFFFFF" w:themeFill="background1"/>
        </w:rPr>
        <w:t xml:space="preserve"> </w:t>
      </w:r>
    </w:p>
    <w:p w:rsidR="00B314B1" w:rsidRPr="00B314B1" w:rsidRDefault="00813218" w:rsidP="00953BD2">
      <w:pPr>
        <w:pStyle w:val="Odstavecseseznamem"/>
        <w:numPr>
          <w:ilvl w:val="0"/>
          <w:numId w:val="19"/>
        </w:numPr>
        <w:tabs>
          <w:tab w:val="left" w:pos="709"/>
        </w:tabs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Georgia" w:hAnsi="Georgia"/>
          <w:lang w:eastAsia="cs-CZ"/>
        </w:rPr>
      </w:pPr>
      <w:r w:rsidRPr="00B314B1">
        <w:rPr>
          <w:rFonts w:ascii="Georgia" w:hAnsi="Georgia"/>
          <w:bCs/>
          <w:color w:val="000000"/>
          <w:shd w:val="clear" w:color="auto" w:fill="FFFFFF" w:themeFill="background1"/>
        </w:rPr>
        <w:t>Dopady, g</w:t>
      </w:r>
      <w:r w:rsidR="00885EDD" w:rsidRPr="00B314B1">
        <w:rPr>
          <w:rFonts w:ascii="Georgia" w:hAnsi="Georgia"/>
          <w:bCs/>
          <w:color w:val="000000"/>
          <w:shd w:val="clear" w:color="auto" w:fill="FFFFFF" w:themeFill="background1"/>
        </w:rPr>
        <w:t xml:space="preserve">eopolitika </w:t>
      </w:r>
      <w:r w:rsidRPr="00B314B1">
        <w:rPr>
          <w:rFonts w:ascii="Georgia" w:hAnsi="Georgia"/>
          <w:bCs/>
          <w:color w:val="000000"/>
          <w:shd w:val="clear" w:color="auto" w:fill="FFFFFF" w:themeFill="background1"/>
        </w:rPr>
        <w:t xml:space="preserve">a bezpečnostní implikace </w:t>
      </w:r>
      <w:r w:rsidR="00885EDD" w:rsidRPr="00763168">
        <w:rPr>
          <w:rFonts w:ascii="Georgia" w:hAnsi="Georgia"/>
          <w:b/>
          <w:bCs/>
          <w:color w:val="000000"/>
          <w:shd w:val="clear" w:color="auto" w:fill="FFFFFF" w:themeFill="background1"/>
        </w:rPr>
        <w:t xml:space="preserve">nových </w:t>
      </w:r>
      <w:r w:rsidRPr="00763168">
        <w:rPr>
          <w:rFonts w:ascii="Georgia" w:hAnsi="Georgia"/>
          <w:b/>
          <w:bCs/>
          <w:color w:val="000000"/>
          <w:shd w:val="clear" w:color="auto" w:fill="FFFFFF" w:themeFill="background1"/>
        </w:rPr>
        <w:t xml:space="preserve">a přelomových </w:t>
      </w:r>
      <w:r w:rsidR="00885EDD" w:rsidRPr="00763168">
        <w:rPr>
          <w:rFonts w:ascii="Georgia" w:hAnsi="Georgia"/>
          <w:b/>
          <w:bCs/>
          <w:color w:val="000000"/>
          <w:shd w:val="clear" w:color="auto" w:fill="FFFFFF" w:themeFill="background1"/>
        </w:rPr>
        <w:t>technologií</w:t>
      </w:r>
      <w:r w:rsidRPr="00763168">
        <w:rPr>
          <w:rFonts w:ascii="Georgia" w:hAnsi="Georgia"/>
          <w:b/>
          <w:bCs/>
          <w:color w:val="000000"/>
          <w:shd w:val="clear" w:color="auto" w:fill="FFFFFF" w:themeFill="background1"/>
        </w:rPr>
        <w:t>, včetně domény vesmíru</w:t>
      </w:r>
      <w:r w:rsidR="00885EDD" w:rsidRPr="00B314B1">
        <w:rPr>
          <w:rFonts w:ascii="Georgia" w:hAnsi="Georgia"/>
          <w:bCs/>
          <w:color w:val="000000"/>
          <w:shd w:val="clear" w:color="auto" w:fill="FFFFFF" w:themeFill="background1"/>
        </w:rPr>
        <w:t xml:space="preserve"> - </w:t>
      </w:r>
      <w:r w:rsidR="00885EDD" w:rsidRPr="00B314B1">
        <w:rPr>
          <w:rFonts w:ascii="Georgia" w:hAnsi="Georgia"/>
          <w:shd w:val="clear" w:color="auto" w:fill="FFFFFF" w:themeFill="background1"/>
        </w:rPr>
        <w:t>úsilí o nastavování mezinárodních standardů v regulaci nových digitálních technologií v souladu s normami zodpovědného chování států v kybernetickém prostoru</w:t>
      </w:r>
      <w:r w:rsidRPr="00B314B1">
        <w:rPr>
          <w:rFonts w:ascii="Georgia" w:hAnsi="Georgia"/>
          <w:shd w:val="clear" w:color="auto" w:fill="FFFFFF" w:themeFill="background1"/>
        </w:rPr>
        <w:t>,</w:t>
      </w:r>
      <w:r w:rsidR="00B314B1">
        <w:rPr>
          <w:rFonts w:ascii="Georgia" w:hAnsi="Georgia"/>
          <w:shd w:val="clear" w:color="auto" w:fill="FFFFFF" w:themeFill="background1"/>
        </w:rPr>
        <w:t xml:space="preserve"> </w:t>
      </w:r>
      <w:r w:rsidRPr="00B314B1">
        <w:rPr>
          <w:rFonts w:ascii="Georgia" w:hAnsi="Georgia"/>
          <w:shd w:val="clear" w:color="auto" w:fill="FFFFFF" w:themeFill="background1"/>
        </w:rPr>
        <w:t>rozvoj kapacit</w:t>
      </w:r>
      <w:r w:rsidR="00EA1DAF" w:rsidRPr="00B314B1">
        <w:rPr>
          <w:rFonts w:ascii="Georgia" w:hAnsi="Georgia"/>
          <w:shd w:val="clear" w:color="auto" w:fill="FFFFFF" w:themeFill="background1"/>
        </w:rPr>
        <w:t>.</w:t>
      </w:r>
    </w:p>
    <w:p w:rsidR="00B314B1" w:rsidRDefault="00B314B1" w:rsidP="00B314B1">
      <w:pPr>
        <w:tabs>
          <w:tab w:val="left" w:pos="709"/>
        </w:tabs>
        <w:spacing w:before="120" w:after="120" w:line="240" w:lineRule="auto"/>
        <w:ind w:left="360"/>
        <w:contextualSpacing/>
        <w:jc w:val="both"/>
        <w:rPr>
          <w:rFonts w:ascii="Georgia" w:hAnsi="Georgia"/>
          <w:b/>
          <w:bCs/>
          <w:color w:val="000000"/>
          <w:sz w:val="28"/>
          <w:szCs w:val="28"/>
          <w:u w:val="single"/>
          <w:lang w:eastAsia="cs-CZ"/>
        </w:rPr>
      </w:pPr>
    </w:p>
    <w:p w:rsidR="00B314B1" w:rsidRPr="00B314B1" w:rsidRDefault="00B314B1" w:rsidP="00B314B1">
      <w:pPr>
        <w:tabs>
          <w:tab w:val="left" w:pos="709"/>
        </w:tabs>
        <w:spacing w:before="120" w:after="120" w:line="240" w:lineRule="auto"/>
        <w:ind w:left="360"/>
        <w:contextualSpacing/>
        <w:jc w:val="both"/>
        <w:rPr>
          <w:rFonts w:ascii="Georgia" w:hAnsi="Georgia"/>
          <w:b/>
          <w:bCs/>
          <w:color w:val="000000"/>
          <w:sz w:val="28"/>
          <w:szCs w:val="28"/>
          <w:u w:val="single"/>
          <w:lang w:eastAsia="cs-CZ"/>
        </w:rPr>
      </w:pPr>
      <w:r w:rsidRPr="00B314B1">
        <w:rPr>
          <w:rFonts w:ascii="Georgia" w:hAnsi="Georgia"/>
          <w:b/>
          <w:bCs/>
          <w:color w:val="000000"/>
          <w:sz w:val="28"/>
          <w:szCs w:val="28"/>
          <w:u w:val="single"/>
          <w:lang w:eastAsia="cs-CZ"/>
        </w:rPr>
        <w:t>Prosperita a udržitelnost</w:t>
      </w:r>
    </w:p>
    <w:p w:rsidR="00953BD2" w:rsidRPr="00B314B1" w:rsidRDefault="00953BD2" w:rsidP="00953BD2">
      <w:pPr>
        <w:pStyle w:val="Odstavecseseznamem"/>
        <w:numPr>
          <w:ilvl w:val="0"/>
          <w:numId w:val="19"/>
        </w:numPr>
        <w:tabs>
          <w:tab w:val="left" w:pos="709"/>
        </w:tabs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Georgia" w:hAnsi="Georgia"/>
          <w:lang w:eastAsia="cs-CZ"/>
        </w:rPr>
      </w:pPr>
      <w:r w:rsidRPr="00B314B1">
        <w:rPr>
          <w:rFonts w:ascii="Georgia" w:hAnsi="Georgia"/>
          <w:lang w:eastAsia="cs-CZ"/>
        </w:rPr>
        <w:t>O</w:t>
      </w:r>
      <w:r w:rsidR="00996591" w:rsidRPr="00B314B1">
        <w:rPr>
          <w:rFonts w:ascii="Georgia" w:hAnsi="Georgia"/>
          <w:lang w:eastAsia="cs-CZ"/>
        </w:rPr>
        <w:t>bchodní příležitosti pro české firmy v zahraničí</w:t>
      </w:r>
      <w:r w:rsidR="00BB796B" w:rsidRPr="00B314B1">
        <w:rPr>
          <w:rFonts w:ascii="Georgia" w:hAnsi="Georgia"/>
          <w:lang w:eastAsia="cs-CZ"/>
        </w:rPr>
        <w:t xml:space="preserve"> v souvislosti s politikou EU </w:t>
      </w:r>
      <w:r w:rsidR="00BB796B" w:rsidRPr="00763168">
        <w:rPr>
          <w:rFonts w:ascii="Georgia" w:hAnsi="Georgia"/>
          <w:b/>
          <w:lang w:eastAsia="cs-CZ"/>
        </w:rPr>
        <w:t>„g</w:t>
      </w:r>
      <w:r w:rsidR="00996591" w:rsidRPr="00763168">
        <w:rPr>
          <w:rFonts w:ascii="Georgia" w:hAnsi="Georgia"/>
          <w:b/>
          <w:lang w:eastAsia="cs-CZ"/>
        </w:rPr>
        <w:t xml:space="preserve">reen </w:t>
      </w:r>
      <w:proofErr w:type="spellStart"/>
      <w:r w:rsidR="00BB796B" w:rsidRPr="00763168">
        <w:rPr>
          <w:rFonts w:ascii="Georgia" w:hAnsi="Georgia"/>
          <w:b/>
          <w:lang w:eastAsia="cs-CZ"/>
        </w:rPr>
        <w:t>t</w:t>
      </w:r>
      <w:r w:rsidR="003B6C02" w:rsidRPr="00763168">
        <w:rPr>
          <w:rFonts w:ascii="Georgia" w:hAnsi="Georgia"/>
          <w:b/>
          <w:lang w:eastAsia="cs-CZ"/>
        </w:rPr>
        <w:t>ransition</w:t>
      </w:r>
      <w:proofErr w:type="spellEnd"/>
      <w:r w:rsidR="0011197B" w:rsidRPr="00763168">
        <w:rPr>
          <w:rFonts w:ascii="Georgia" w:hAnsi="Georgia"/>
          <w:b/>
          <w:lang w:eastAsia="cs-CZ"/>
        </w:rPr>
        <w:t>“</w:t>
      </w:r>
      <w:r w:rsidR="00632419" w:rsidRPr="00B314B1">
        <w:rPr>
          <w:rFonts w:ascii="Georgia" w:hAnsi="Georgia"/>
          <w:lang w:eastAsia="cs-CZ"/>
        </w:rPr>
        <w:t xml:space="preserve"> – pohled vpřed bez předsudků</w:t>
      </w:r>
      <w:r w:rsidR="00EA1DAF" w:rsidRPr="00B314B1">
        <w:rPr>
          <w:rFonts w:ascii="Georgia" w:hAnsi="Georgia"/>
          <w:lang w:eastAsia="cs-CZ"/>
        </w:rPr>
        <w:t>.</w:t>
      </w:r>
      <w:r w:rsidR="00996591" w:rsidRPr="00B314B1">
        <w:rPr>
          <w:rFonts w:ascii="Georgia" w:hAnsi="Georgia"/>
          <w:lang w:eastAsia="cs-CZ"/>
        </w:rPr>
        <w:t xml:space="preserve"> </w:t>
      </w:r>
    </w:p>
    <w:p w:rsidR="00953BD2" w:rsidRPr="004D0EEB" w:rsidRDefault="00B349B5" w:rsidP="00953BD2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lang w:eastAsia="cs-CZ"/>
        </w:rPr>
      </w:pPr>
      <w:r>
        <w:rPr>
          <w:rFonts w:ascii="Georgia" w:hAnsi="Georgia"/>
          <w:lang w:eastAsia="cs-CZ"/>
        </w:rPr>
        <w:t xml:space="preserve">Kam dále: Zahraniční </w:t>
      </w:r>
      <w:r w:rsidR="00953BD2" w:rsidRPr="00763168">
        <w:rPr>
          <w:rFonts w:ascii="Georgia" w:hAnsi="Georgia"/>
          <w:b/>
          <w:lang w:eastAsia="cs-CZ"/>
        </w:rPr>
        <w:t xml:space="preserve">rozvojová spolupráce </w:t>
      </w:r>
      <w:r w:rsidRPr="00763168">
        <w:rPr>
          <w:rFonts w:ascii="Georgia" w:hAnsi="Georgia"/>
          <w:b/>
          <w:lang w:eastAsia="cs-CZ"/>
        </w:rPr>
        <w:t>a humanitární pomoc</w:t>
      </w:r>
      <w:r>
        <w:rPr>
          <w:rFonts w:ascii="Georgia" w:hAnsi="Georgia"/>
          <w:lang w:eastAsia="cs-CZ"/>
        </w:rPr>
        <w:t xml:space="preserve"> v kontextu Agendy 2030 a </w:t>
      </w:r>
      <w:r w:rsidR="00905A53">
        <w:rPr>
          <w:rFonts w:ascii="Georgia" w:hAnsi="Georgia"/>
          <w:lang w:eastAsia="cs-CZ"/>
        </w:rPr>
        <w:t xml:space="preserve">naplňování globálních Cílů udržitelného rozvoje (zejména SDG7 a SDG12) </w:t>
      </w:r>
      <w:r w:rsidR="00953BD2" w:rsidRPr="004D0EEB">
        <w:rPr>
          <w:rFonts w:ascii="Georgia" w:hAnsi="Georgia"/>
          <w:lang w:eastAsia="cs-CZ"/>
        </w:rPr>
        <w:t>s</w:t>
      </w:r>
      <w:r>
        <w:rPr>
          <w:rFonts w:ascii="Georgia" w:hAnsi="Georgia"/>
          <w:lang w:eastAsia="cs-CZ"/>
        </w:rPr>
        <w:t xml:space="preserve"> možnými </w:t>
      </w:r>
      <w:r w:rsidR="00953BD2" w:rsidRPr="004D0EEB">
        <w:rPr>
          <w:rFonts w:ascii="Georgia" w:hAnsi="Georgia"/>
          <w:lang w:eastAsia="cs-CZ"/>
        </w:rPr>
        <w:t>přesahy do obchodně</w:t>
      </w:r>
      <w:r w:rsidR="001A0C1E">
        <w:rPr>
          <w:rFonts w:ascii="Georgia" w:hAnsi="Georgia"/>
          <w:lang w:eastAsia="cs-CZ"/>
        </w:rPr>
        <w:t>-</w:t>
      </w:r>
      <w:r w:rsidR="00953BD2" w:rsidRPr="004D0EEB">
        <w:rPr>
          <w:rFonts w:ascii="Georgia" w:hAnsi="Georgia"/>
          <w:lang w:eastAsia="cs-CZ"/>
        </w:rPr>
        <w:t>ekonomické spolupráce</w:t>
      </w:r>
      <w:r>
        <w:rPr>
          <w:rFonts w:ascii="Georgia" w:hAnsi="Georgia"/>
          <w:lang w:eastAsia="cs-CZ"/>
        </w:rPr>
        <w:t xml:space="preserve">, včetně příležitostí pro </w:t>
      </w:r>
      <w:r w:rsidRPr="00E853DC">
        <w:rPr>
          <w:rFonts w:ascii="Georgia" w:eastAsiaTheme="minorHAnsi" w:hAnsi="Georgia" w:cs="Helv"/>
          <w:bCs/>
          <w:color w:val="000000"/>
        </w:rPr>
        <w:t>české schopnosti, technologie a řešení k zapojení do realizace evropské rozvojové spolupráce (nástroje NDICI a TEI)</w:t>
      </w:r>
      <w:r w:rsidR="00EA1DAF">
        <w:rPr>
          <w:rFonts w:ascii="Georgia" w:hAnsi="Georgia"/>
          <w:lang w:eastAsia="cs-CZ"/>
        </w:rPr>
        <w:t>.</w:t>
      </w:r>
      <w:r w:rsidR="00953BD2" w:rsidRPr="004D0EEB">
        <w:rPr>
          <w:rFonts w:ascii="Georgia" w:hAnsi="Georgia"/>
          <w:lang w:eastAsia="cs-CZ"/>
        </w:rPr>
        <w:t xml:space="preserve"> </w:t>
      </w:r>
    </w:p>
    <w:p w:rsidR="0011197B" w:rsidRPr="004D0EEB" w:rsidRDefault="0011197B" w:rsidP="00953BD2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lang w:eastAsia="cs-CZ"/>
        </w:rPr>
      </w:pPr>
      <w:r w:rsidRPr="004D0EEB">
        <w:rPr>
          <w:rFonts w:ascii="Georgia" w:hAnsi="Georgia"/>
        </w:rPr>
        <w:t xml:space="preserve">Rozvoj moderní </w:t>
      </w:r>
      <w:r w:rsidRPr="00763168">
        <w:rPr>
          <w:rFonts w:ascii="Georgia" w:hAnsi="Georgia"/>
          <w:b/>
        </w:rPr>
        <w:t>ekonomické diplomacie</w:t>
      </w:r>
      <w:r w:rsidRPr="004D0EEB">
        <w:rPr>
          <w:rFonts w:ascii="Georgia" w:hAnsi="Georgia"/>
        </w:rPr>
        <w:t xml:space="preserve"> ČR</w:t>
      </w:r>
      <w:r w:rsidR="00632419">
        <w:rPr>
          <w:rFonts w:ascii="Georgia" w:hAnsi="Georgia"/>
        </w:rPr>
        <w:t xml:space="preserve"> – přeshraniční srovnání konceptů, metod a efektivity</w:t>
      </w:r>
      <w:r w:rsidR="00B349B5">
        <w:rPr>
          <w:rFonts w:ascii="Georgia" w:hAnsi="Georgia"/>
        </w:rPr>
        <w:t>, včetně nového vývoje v kontextu ruské války na Ukrajině</w:t>
      </w:r>
      <w:r w:rsidR="00EA1DAF">
        <w:rPr>
          <w:rFonts w:ascii="Georgia" w:hAnsi="Georgia"/>
        </w:rPr>
        <w:t>.</w:t>
      </w:r>
    </w:p>
    <w:p w:rsidR="00E853DC" w:rsidRPr="00E853DC" w:rsidRDefault="00B349B5" w:rsidP="00E853DC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eorgia" w:eastAsiaTheme="minorHAnsi" w:hAnsi="Georgia" w:cs="Helv"/>
          <w:bCs/>
          <w:color w:val="000000"/>
        </w:rPr>
      </w:pPr>
      <w:r>
        <w:rPr>
          <w:rFonts w:ascii="Georgia" w:eastAsiaTheme="minorHAnsi" w:hAnsi="Georgia" w:cs="Helv"/>
          <w:bCs/>
          <w:color w:val="000000"/>
        </w:rPr>
        <w:t>Jak se zapojit do evropské „velké strategie“: o</w:t>
      </w:r>
      <w:r w:rsidR="00E853DC" w:rsidRPr="00E853DC">
        <w:rPr>
          <w:rFonts w:ascii="Georgia" w:eastAsiaTheme="minorHAnsi" w:hAnsi="Georgia" w:cs="Helv"/>
          <w:bCs/>
          <w:color w:val="000000"/>
        </w:rPr>
        <w:t>bchodní příležitosti pro české firmy v zahraničí v kontextu EU strategie "</w:t>
      </w:r>
      <w:proofErr w:type="spellStart"/>
      <w:r w:rsidR="00E853DC" w:rsidRPr="00763168">
        <w:rPr>
          <w:rFonts w:ascii="Georgia" w:eastAsiaTheme="minorHAnsi" w:hAnsi="Georgia" w:cs="Helv"/>
          <w:b/>
          <w:bCs/>
          <w:color w:val="000000"/>
        </w:rPr>
        <w:t>Global</w:t>
      </w:r>
      <w:proofErr w:type="spellEnd"/>
      <w:r w:rsidR="00E853DC" w:rsidRPr="00763168">
        <w:rPr>
          <w:rFonts w:ascii="Georgia" w:eastAsiaTheme="minorHAnsi" w:hAnsi="Georgia" w:cs="Helv"/>
          <w:b/>
          <w:bCs/>
          <w:color w:val="000000"/>
        </w:rPr>
        <w:t xml:space="preserve"> </w:t>
      </w:r>
      <w:proofErr w:type="spellStart"/>
      <w:r w:rsidR="00E853DC" w:rsidRPr="00763168">
        <w:rPr>
          <w:rFonts w:ascii="Georgia" w:eastAsiaTheme="minorHAnsi" w:hAnsi="Georgia" w:cs="Helv"/>
          <w:b/>
          <w:bCs/>
          <w:color w:val="000000"/>
        </w:rPr>
        <w:t>Gateway</w:t>
      </w:r>
      <w:proofErr w:type="spellEnd"/>
      <w:r w:rsidR="00E853DC" w:rsidRPr="00E853DC">
        <w:rPr>
          <w:rFonts w:ascii="Georgia" w:eastAsiaTheme="minorHAnsi" w:hAnsi="Georgia" w:cs="Helv"/>
          <w:bCs/>
          <w:color w:val="000000"/>
        </w:rPr>
        <w:t>"</w:t>
      </w:r>
      <w:r>
        <w:rPr>
          <w:rFonts w:ascii="Georgia" w:eastAsiaTheme="minorHAnsi" w:hAnsi="Georgia" w:cs="Helv"/>
          <w:bCs/>
          <w:color w:val="000000"/>
        </w:rPr>
        <w:t xml:space="preserve"> a politický kontext</w:t>
      </w:r>
      <w:r w:rsidR="00E853DC" w:rsidRPr="00E853DC">
        <w:rPr>
          <w:rFonts w:ascii="Georgia" w:eastAsiaTheme="minorHAnsi" w:hAnsi="Georgia" w:cs="Helv"/>
          <w:bCs/>
          <w:color w:val="000000"/>
        </w:rPr>
        <w:t>.</w:t>
      </w:r>
    </w:p>
    <w:p w:rsidR="00F03656" w:rsidRPr="00B314B1" w:rsidRDefault="00632419" w:rsidP="00F03656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bCs/>
          <w:lang w:eastAsia="cs-CZ"/>
        </w:rPr>
      </w:pPr>
      <w:r>
        <w:rPr>
          <w:rFonts w:ascii="Georgia" w:hAnsi="Georgia"/>
          <w:lang w:eastAsia="cs-CZ"/>
        </w:rPr>
        <w:t xml:space="preserve">Nové ideje: </w:t>
      </w:r>
      <w:r w:rsidR="00953BD2" w:rsidRPr="00F03656">
        <w:rPr>
          <w:rFonts w:ascii="Georgia" w:hAnsi="Georgia"/>
          <w:lang w:eastAsia="cs-CZ"/>
        </w:rPr>
        <w:t xml:space="preserve">Podpora </w:t>
      </w:r>
      <w:r w:rsidR="00953BD2" w:rsidRPr="00763168">
        <w:rPr>
          <w:rFonts w:ascii="Georgia" w:hAnsi="Georgia"/>
          <w:b/>
          <w:lang w:eastAsia="cs-CZ"/>
        </w:rPr>
        <w:t>demokracie a lidských práv</w:t>
      </w:r>
      <w:r w:rsidR="00953BD2" w:rsidRPr="00F03656">
        <w:rPr>
          <w:rFonts w:ascii="Georgia" w:hAnsi="Georgia"/>
          <w:lang w:eastAsia="cs-CZ"/>
        </w:rPr>
        <w:t xml:space="preserve"> ve světě</w:t>
      </w:r>
      <w:r w:rsidR="00F03656" w:rsidRPr="00F03656">
        <w:rPr>
          <w:rFonts w:ascii="Georgia" w:hAnsi="Georgia"/>
          <w:lang w:eastAsia="cs-CZ"/>
        </w:rPr>
        <w:t>,</w:t>
      </w:r>
      <w:r w:rsidR="00F03656">
        <w:rPr>
          <w:rFonts w:ascii="Georgia" w:hAnsi="Georgia"/>
          <w:shd w:val="clear" w:color="auto" w:fill="FFFFFF" w:themeFill="background1"/>
        </w:rPr>
        <w:t xml:space="preserve"> </w:t>
      </w:r>
      <w:proofErr w:type="spellStart"/>
      <w:r w:rsidR="00F03656" w:rsidRPr="00F03656">
        <w:rPr>
          <w:rFonts w:ascii="Georgia" w:hAnsi="Georgia"/>
          <w:shd w:val="clear" w:color="auto" w:fill="FFFFFF" w:themeFill="background1"/>
        </w:rPr>
        <w:t>good</w:t>
      </w:r>
      <w:proofErr w:type="spellEnd"/>
      <w:r w:rsidR="00F03656" w:rsidRPr="00F03656">
        <w:rPr>
          <w:rFonts w:ascii="Georgia" w:hAnsi="Georgia"/>
          <w:shd w:val="clear" w:color="auto" w:fill="FFFFFF" w:themeFill="background1"/>
        </w:rPr>
        <w:t xml:space="preserve"> </w:t>
      </w:r>
      <w:proofErr w:type="spellStart"/>
      <w:r w:rsidR="00F03656" w:rsidRPr="00F03656">
        <w:rPr>
          <w:rFonts w:ascii="Georgia" w:hAnsi="Georgia"/>
          <w:shd w:val="clear" w:color="auto" w:fill="FFFFFF" w:themeFill="background1"/>
        </w:rPr>
        <w:t>governance</w:t>
      </w:r>
      <w:proofErr w:type="spellEnd"/>
      <w:r w:rsidR="00F03656" w:rsidRPr="00F03656">
        <w:rPr>
          <w:rFonts w:ascii="Georgia" w:hAnsi="Georgia"/>
          <w:shd w:val="clear" w:color="auto" w:fill="FFFFFF" w:themeFill="background1"/>
        </w:rPr>
        <w:t>, p</w:t>
      </w:r>
      <w:r w:rsidR="00F03656" w:rsidRPr="00F41CC3">
        <w:rPr>
          <w:rFonts w:ascii="Georgia" w:hAnsi="Georgia" w:cs="Calibri"/>
          <w:bCs/>
          <w:shd w:val="clear" w:color="auto" w:fill="FFFFFF" w:themeFill="background1"/>
        </w:rPr>
        <w:t>odpora transformační spolupráce</w:t>
      </w:r>
      <w:r w:rsidR="00EA1DAF">
        <w:rPr>
          <w:rFonts w:ascii="Georgia" w:hAnsi="Georgia" w:cs="Calibri"/>
          <w:bCs/>
          <w:shd w:val="clear" w:color="auto" w:fill="FFFFFF" w:themeFill="background1"/>
        </w:rPr>
        <w:t>.</w:t>
      </w:r>
    </w:p>
    <w:p w:rsidR="00B314B1" w:rsidRDefault="00B314B1" w:rsidP="00B314B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eorgia" w:hAnsi="Georgia"/>
          <w:bCs/>
          <w:lang w:eastAsia="cs-CZ"/>
        </w:rPr>
      </w:pPr>
    </w:p>
    <w:p w:rsidR="00B314B1" w:rsidRPr="00F07585" w:rsidRDefault="00B314B1" w:rsidP="00B314B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eorgia" w:hAnsi="Georgia"/>
          <w:b/>
          <w:bCs/>
          <w:sz w:val="28"/>
          <w:szCs w:val="28"/>
          <w:u w:val="single"/>
          <w:lang w:eastAsia="cs-CZ"/>
        </w:rPr>
      </w:pPr>
    </w:p>
    <w:p w:rsidR="00F07585" w:rsidRPr="00F07585" w:rsidRDefault="00F07585" w:rsidP="00B314B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eorgia" w:hAnsi="Georgia"/>
          <w:b/>
          <w:bCs/>
          <w:sz w:val="28"/>
          <w:szCs w:val="28"/>
          <w:u w:val="single"/>
          <w:lang w:eastAsia="cs-CZ"/>
        </w:rPr>
      </w:pPr>
      <w:r w:rsidRPr="00F07585">
        <w:rPr>
          <w:rFonts w:ascii="Georgia" w:hAnsi="Georgia"/>
          <w:b/>
          <w:bCs/>
          <w:sz w:val="28"/>
          <w:szCs w:val="28"/>
          <w:u w:val="single"/>
          <w:lang w:eastAsia="cs-CZ"/>
        </w:rPr>
        <w:t>Veřejná diplomacie a krajané</w:t>
      </w:r>
    </w:p>
    <w:p w:rsidR="00B314B1" w:rsidRPr="00B314B1" w:rsidRDefault="00B314B1" w:rsidP="00B314B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eorgia" w:hAnsi="Georgia"/>
          <w:bCs/>
          <w:lang w:eastAsia="cs-CZ"/>
        </w:rPr>
      </w:pPr>
    </w:p>
    <w:p w:rsidR="00314826" w:rsidRDefault="00314826" w:rsidP="00314826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lang w:eastAsia="cs-CZ"/>
        </w:rPr>
      </w:pPr>
      <w:r w:rsidRPr="004D0EEB">
        <w:rPr>
          <w:rFonts w:ascii="Georgia" w:hAnsi="Georgia"/>
          <w:lang w:eastAsia="cs-CZ"/>
        </w:rPr>
        <w:t>Podpor</w:t>
      </w:r>
      <w:r>
        <w:rPr>
          <w:rFonts w:ascii="Georgia" w:hAnsi="Georgia"/>
          <w:lang w:eastAsia="cs-CZ"/>
        </w:rPr>
        <w:t>a</w:t>
      </w:r>
      <w:r w:rsidRPr="004D0EEB">
        <w:rPr>
          <w:rFonts w:ascii="Georgia" w:hAnsi="Georgia"/>
          <w:lang w:eastAsia="cs-CZ"/>
        </w:rPr>
        <w:t xml:space="preserve"> českého </w:t>
      </w:r>
      <w:r w:rsidRPr="00763168">
        <w:rPr>
          <w:rFonts w:ascii="Georgia" w:hAnsi="Georgia"/>
          <w:b/>
          <w:lang w:eastAsia="cs-CZ"/>
        </w:rPr>
        <w:t>kulturního dědictví</w:t>
      </w:r>
      <w:r w:rsidRPr="004D0EEB">
        <w:rPr>
          <w:rFonts w:ascii="Georgia" w:hAnsi="Georgia"/>
          <w:lang w:eastAsia="cs-CZ"/>
        </w:rPr>
        <w:t xml:space="preserve"> v zahraničí (2021-25)</w:t>
      </w:r>
      <w:r>
        <w:rPr>
          <w:rFonts w:ascii="Georgia" w:hAnsi="Georgia"/>
          <w:lang w:eastAsia="cs-CZ"/>
        </w:rPr>
        <w:t>.</w:t>
      </w:r>
      <w:r w:rsidRPr="004D0EEB">
        <w:rPr>
          <w:rFonts w:ascii="Georgia" w:hAnsi="Georgia"/>
          <w:lang w:eastAsia="cs-CZ"/>
        </w:rPr>
        <w:t xml:space="preserve"> </w:t>
      </w:r>
    </w:p>
    <w:p w:rsidR="0011197B" w:rsidRPr="004D0EEB" w:rsidRDefault="0011197B" w:rsidP="0011197B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lang w:eastAsia="cs-CZ"/>
        </w:rPr>
      </w:pPr>
      <w:r w:rsidRPr="004D0EEB">
        <w:rPr>
          <w:rFonts w:ascii="Georgia" w:hAnsi="Georgia"/>
          <w:lang w:eastAsia="cs-CZ"/>
        </w:rPr>
        <w:t xml:space="preserve">Zvýšení </w:t>
      </w:r>
      <w:r w:rsidRPr="00763168">
        <w:rPr>
          <w:rFonts w:ascii="Georgia" w:hAnsi="Georgia"/>
          <w:b/>
          <w:lang w:eastAsia="cs-CZ"/>
        </w:rPr>
        <w:t>standardu služeb</w:t>
      </w:r>
      <w:r w:rsidRPr="004D0EEB">
        <w:rPr>
          <w:rFonts w:ascii="Georgia" w:hAnsi="Georgia"/>
          <w:lang w:eastAsia="cs-CZ"/>
        </w:rPr>
        <w:t xml:space="preserve"> pro CZ občany v</w:t>
      </w:r>
      <w:r w:rsidR="00EA1DAF">
        <w:rPr>
          <w:rFonts w:ascii="Georgia" w:hAnsi="Georgia"/>
          <w:lang w:eastAsia="cs-CZ"/>
        </w:rPr>
        <w:t> </w:t>
      </w:r>
      <w:r w:rsidRPr="004D0EEB">
        <w:rPr>
          <w:rFonts w:ascii="Georgia" w:hAnsi="Georgia"/>
          <w:lang w:eastAsia="cs-CZ"/>
        </w:rPr>
        <w:t>zahraničí</w:t>
      </w:r>
      <w:r w:rsidR="00EA1DAF">
        <w:rPr>
          <w:rFonts w:ascii="Georgia" w:hAnsi="Georgia"/>
          <w:lang w:eastAsia="cs-CZ"/>
        </w:rPr>
        <w:t>.</w:t>
      </w:r>
      <w:r w:rsidRPr="004D0EEB">
        <w:rPr>
          <w:rFonts w:ascii="Georgia" w:hAnsi="Georgia"/>
          <w:lang w:eastAsia="cs-CZ"/>
        </w:rPr>
        <w:t xml:space="preserve"> </w:t>
      </w:r>
    </w:p>
    <w:p w:rsidR="00E853DC" w:rsidRPr="00E853DC" w:rsidRDefault="009218C5" w:rsidP="00953BD2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b/>
          <w:sz w:val="24"/>
          <w:szCs w:val="24"/>
          <w:lang w:eastAsia="cs-CZ"/>
        </w:rPr>
      </w:pPr>
      <w:r w:rsidRPr="00E853DC">
        <w:rPr>
          <w:rFonts w:ascii="Georgia" w:eastAsiaTheme="minorHAnsi" w:hAnsi="Georgia" w:cs="Georgia"/>
          <w:color w:val="000000"/>
        </w:rPr>
        <w:t>Intenzivnější a efektivní zapojení orgánů státní správy do přímé i nepřímé podpory českých občanů v zahraničí (</w:t>
      </w:r>
      <w:r w:rsidRPr="00763168">
        <w:rPr>
          <w:rFonts w:ascii="Georgia" w:eastAsiaTheme="minorHAnsi" w:hAnsi="Georgia" w:cs="Georgia"/>
          <w:b/>
          <w:color w:val="000000"/>
        </w:rPr>
        <w:t>krajanských komunit</w:t>
      </w:r>
      <w:r w:rsidRPr="00E853DC">
        <w:rPr>
          <w:rFonts w:ascii="Georgia" w:eastAsiaTheme="minorHAnsi" w:hAnsi="Georgia" w:cs="Georgia"/>
          <w:color w:val="000000"/>
        </w:rPr>
        <w:t xml:space="preserve">). </w:t>
      </w:r>
    </w:p>
    <w:sectPr w:rsidR="00E853DC" w:rsidRPr="00E853DC" w:rsidSect="00C04FFE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cStd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CC681AA"/>
    <w:lvl w:ilvl="0">
      <w:numFmt w:val="bullet"/>
      <w:lvlText w:val="*"/>
      <w:lvlJc w:val="left"/>
    </w:lvl>
  </w:abstractNum>
  <w:abstractNum w:abstractNumId="1" w15:restartNumberingAfterBreak="0">
    <w:nsid w:val="072C4CB4"/>
    <w:multiLevelType w:val="hybridMultilevel"/>
    <w:tmpl w:val="1B6411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F2838"/>
    <w:multiLevelType w:val="hybridMultilevel"/>
    <w:tmpl w:val="2ED88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00E4B"/>
    <w:multiLevelType w:val="hybridMultilevel"/>
    <w:tmpl w:val="B888B9A2"/>
    <w:lvl w:ilvl="0" w:tplc="040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0D354A01"/>
    <w:multiLevelType w:val="hybridMultilevel"/>
    <w:tmpl w:val="9BA6C2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81E69"/>
    <w:multiLevelType w:val="hybridMultilevel"/>
    <w:tmpl w:val="DEAC0B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7111FD"/>
    <w:multiLevelType w:val="hybridMultilevel"/>
    <w:tmpl w:val="18DE3A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7C10560"/>
    <w:multiLevelType w:val="hybridMultilevel"/>
    <w:tmpl w:val="61A6A6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CA001B"/>
    <w:multiLevelType w:val="hybridMultilevel"/>
    <w:tmpl w:val="6A049F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B651C"/>
    <w:multiLevelType w:val="hybridMultilevel"/>
    <w:tmpl w:val="CBFADB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5B143C"/>
    <w:multiLevelType w:val="hybridMultilevel"/>
    <w:tmpl w:val="875A17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8B1CA4"/>
    <w:multiLevelType w:val="hybridMultilevel"/>
    <w:tmpl w:val="87B4AA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221B3D"/>
    <w:multiLevelType w:val="hybridMultilevel"/>
    <w:tmpl w:val="7A1E60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646B7C"/>
    <w:multiLevelType w:val="hybridMultilevel"/>
    <w:tmpl w:val="C494E146"/>
    <w:lvl w:ilvl="0" w:tplc="59BE52C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C3B196C"/>
    <w:multiLevelType w:val="hybridMultilevel"/>
    <w:tmpl w:val="DE0862B2"/>
    <w:numStyleLink w:val="ImportedStyle2"/>
  </w:abstractNum>
  <w:abstractNum w:abstractNumId="15" w15:restartNumberingAfterBreak="0">
    <w:nsid w:val="2DCD4D0D"/>
    <w:multiLevelType w:val="hybridMultilevel"/>
    <w:tmpl w:val="8A58CD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036810"/>
    <w:multiLevelType w:val="hybridMultilevel"/>
    <w:tmpl w:val="6B2008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634ABB"/>
    <w:multiLevelType w:val="hybridMultilevel"/>
    <w:tmpl w:val="8CF05B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4393DE8"/>
    <w:multiLevelType w:val="hybridMultilevel"/>
    <w:tmpl w:val="4DE47E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6D5FC9"/>
    <w:multiLevelType w:val="hybridMultilevel"/>
    <w:tmpl w:val="9F0C3B28"/>
    <w:lvl w:ilvl="0" w:tplc="F8EC24A4">
      <w:start w:val="12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6514BF"/>
    <w:multiLevelType w:val="hybridMultilevel"/>
    <w:tmpl w:val="8CE4775E"/>
    <w:lvl w:ilvl="0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77512C2"/>
    <w:multiLevelType w:val="hybridMultilevel"/>
    <w:tmpl w:val="5A387A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991403"/>
    <w:multiLevelType w:val="hybridMultilevel"/>
    <w:tmpl w:val="8E42FC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3">
      <w:start w:val="1"/>
      <w:numFmt w:val="upperRoman"/>
      <w:lvlText w:val="%3."/>
      <w:lvlJc w:val="right"/>
      <w:pPr>
        <w:ind w:left="216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1C0311"/>
    <w:multiLevelType w:val="hybridMultilevel"/>
    <w:tmpl w:val="20326E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981800"/>
    <w:multiLevelType w:val="hybridMultilevel"/>
    <w:tmpl w:val="DE0862B2"/>
    <w:styleLink w:val="ImportedStyle2"/>
    <w:lvl w:ilvl="0" w:tplc="A93C159C">
      <w:start w:val="1"/>
      <w:numFmt w:val="bullet"/>
      <w:lvlText w:val="·"/>
      <w:lvlJc w:val="left"/>
      <w:pPr>
        <w:ind w:left="641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9B00AA0">
      <w:start w:val="1"/>
      <w:numFmt w:val="bullet"/>
      <w:lvlText w:val="o"/>
      <w:lvlJc w:val="left"/>
      <w:pPr>
        <w:tabs>
          <w:tab w:val="left" w:pos="720"/>
        </w:tabs>
        <w:ind w:left="1361" w:hanging="27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A662C46">
      <w:start w:val="1"/>
      <w:numFmt w:val="bullet"/>
      <w:lvlText w:val="▪"/>
      <w:lvlJc w:val="left"/>
      <w:pPr>
        <w:tabs>
          <w:tab w:val="left" w:pos="720"/>
        </w:tabs>
        <w:ind w:left="2081" w:hanging="27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8928638">
      <w:start w:val="1"/>
      <w:numFmt w:val="bullet"/>
      <w:lvlText w:val="·"/>
      <w:lvlJc w:val="left"/>
      <w:pPr>
        <w:tabs>
          <w:tab w:val="left" w:pos="720"/>
        </w:tabs>
        <w:ind w:left="2801" w:hanging="27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DFE6CE0">
      <w:start w:val="1"/>
      <w:numFmt w:val="bullet"/>
      <w:lvlText w:val="o"/>
      <w:lvlJc w:val="left"/>
      <w:pPr>
        <w:tabs>
          <w:tab w:val="left" w:pos="720"/>
        </w:tabs>
        <w:ind w:left="3521" w:hanging="27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72A6690">
      <w:start w:val="1"/>
      <w:numFmt w:val="bullet"/>
      <w:lvlText w:val="▪"/>
      <w:lvlJc w:val="left"/>
      <w:pPr>
        <w:tabs>
          <w:tab w:val="left" w:pos="720"/>
        </w:tabs>
        <w:ind w:left="4241" w:hanging="27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84E58B4">
      <w:start w:val="1"/>
      <w:numFmt w:val="bullet"/>
      <w:lvlText w:val="·"/>
      <w:lvlJc w:val="left"/>
      <w:pPr>
        <w:tabs>
          <w:tab w:val="left" w:pos="720"/>
        </w:tabs>
        <w:ind w:left="4961" w:hanging="27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020F0C8">
      <w:start w:val="1"/>
      <w:numFmt w:val="bullet"/>
      <w:lvlText w:val="o"/>
      <w:lvlJc w:val="left"/>
      <w:pPr>
        <w:tabs>
          <w:tab w:val="left" w:pos="720"/>
        </w:tabs>
        <w:ind w:left="5681" w:hanging="27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DD04B24">
      <w:start w:val="1"/>
      <w:numFmt w:val="bullet"/>
      <w:lvlText w:val="▪"/>
      <w:lvlJc w:val="left"/>
      <w:pPr>
        <w:tabs>
          <w:tab w:val="left" w:pos="720"/>
        </w:tabs>
        <w:ind w:left="6401" w:hanging="27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57DD1495"/>
    <w:multiLevelType w:val="hybridMultilevel"/>
    <w:tmpl w:val="7DEEB8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AC5FB0"/>
    <w:multiLevelType w:val="hybridMultilevel"/>
    <w:tmpl w:val="0C4882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2807EE"/>
    <w:multiLevelType w:val="hybridMultilevel"/>
    <w:tmpl w:val="25045F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C67D8E">
      <w:start w:val="1"/>
      <w:numFmt w:val="bullet"/>
      <w:lvlText w:val="o"/>
      <w:lvlJc w:val="left"/>
      <w:pPr>
        <w:ind w:left="786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29024E"/>
    <w:multiLevelType w:val="hybridMultilevel"/>
    <w:tmpl w:val="78F271DA"/>
    <w:lvl w:ilvl="0" w:tplc="E7AE7AF4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291F37"/>
    <w:multiLevelType w:val="hybridMultilevel"/>
    <w:tmpl w:val="35345E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7"/>
  </w:num>
  <w:num w:numId="4">
    <w:abstractNumId w:val="4"/>
  </w:num>
  <w:num w:numId="5">
    <w:abstractNumId w:val="18"/>
  </w:num>
  <w:num w:numId="6">
    <w:abstractNumId w:val="9"/>
  </w:num>
  <w:num w:numId="7">
    <w:abstractNumId w:val="22"/>
  </w:num>
  <w:num w:numId="8">
    <w:abstractNumId w:val="8"/>
  </w:num>
  <w:num w:numId="9">
    <w:abstractNumId w:val="17"/>
  </w:num>
  <w:num w:numId="10">
    <w:abstractNumId w:val="6"/>
  </w:num>
  <w:num w:numId="11">
    <w:abstractNumId w:val="20"/>
  </w:num>
  <w:num w:numId="12">
    <w:abstractNumId w:val="23"/>
  </w:num>
  <w:num w:numId="13">
    <w:abstractNumId w:val="29"/>
  </w:num>
  <w:num w:numId="14">
    <w:abstractNumId w:val="25"/>
  </w:num>
  <w:num w:numId="15">
    <w:abstractNumId w:val="11"/>
  </w:num>
  <w:num w:numId="16">
    <w:abstractNumId w:val="10"/>
  </w:num>
  <w:num w:numId="17">
    <w:abstractNumId w:val="15"/>
  </w:num>
  <w:num w:numId="18">
    <w:abstractNumId w:val="21"/>
  </w:num>
  <w:num w:numId="19">
    <w:abstractNumId w:val="5"/>
  </w:num>
  <w:num w:numId="20">
    <w:abstractNumId w:val="12"/>
  </w:num>
  <w:num w:numId="21">
    <w:abstractNumId w:val="7"/>
  </w:num>
  <w:num w:numId="22">
    <w:abstractNumId w:val="26"/>
  </w:num>
  <w:num w:numId="23">
    <w:abstractNumId w:val="16"/>
  </w:num>
  <w:num w:numId="24">
    <w:abstractNumId w:val="1"/>
  </w:num>
  <w:num w:numId="25">
    <w:abstractNumId w:val="3"/>
  </w:num>
  <w:num w:numId="26">
    <w:abstractNumId w:val="28"/>
  </w:num>
  <w:num w:numId="27">
    <w:abstractNumId w:val="19"/>
  </w:num>
  <w:num w:numId="28">
    <w:abstractNumId w:val="13"/>
  </w:num>
  <w:num w:numId="29">
    <w:abstractNumId w:val="24"/>
  </w:num>
  <w:num w:numId="30">
    <w:abstractNumId w:val="14"/>
  </w:num>
  <w:num w:numId="3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BD1"/>
    <w:rsid w:val="00040C46"/>
    <w:rsid w:val="000C7BD1"/>
    <w:rsid w:val="0011197B"/>
    <w:rsid w:val="00131A08"/>
    <w:rsid w:val="00141EA3"/>
    <w:rsid w:val="001A0C1E"/>
    <w:rsid w:val="001C6CDD"/>
    <w:rsid w:val="002439C7"/>
    <w:rsid w:val="002A2CC4"/>
    <w:rsid w:val="002B61BF"/>
    <w:rsid w:val="00300BD1"/>
    <w:rsid w:val="00314826"/>
    <w:rsid w:val="00377EC2"/>
    <w:rsid w:val="003A4032"/>
    <w:rsid w:val="003B09A6"/>
    <w:rsid w:val="003B2888"/>
    <w:rsid w:val="003B6C02"/>
    <w:rsid w:val="003E3BEE"/>
    <w:rsid w:val="00462AE7"/>
    <w:rsid w:val="004811BE"/>
    <w:rsid w:val="004A570B"/>
    <w:rsid w:val="004D0EEB"/>
    <w:rsid w:val="004F3DE8"/>
    <w:rsid w:val="00547322"/>
    <w:rsid w:val="005D0F62"/>
    <w:rsid w:val="005E301B"/>
    <w:rsid w:val="00632419"/>
    <w:rsid w:val="006654E6"/>
    <w:rsid w:val="00691EB6"/>
    <w:rsid w:val="006A44CB"/>
    <w:rsid w:val="00720B5A"/>
    <w:rsid w:val="00731617"/>
    <w:rsid w:val="00761310"/>
    <w:rsid w:val="00763168"/>
    <w:rsid w:val="00774806"/>
    <w:rsid w:val="007C24BE"/>
    <w:rsid w:val="007E5E03"/>
    <w:rsid w:val="00810870"/>
    <w:rsid w:val="00813218"/>
    <w:rsid w:val="00885EDD"/>
    <w:rsid w:val="0089632F"/>
    <w:rsid w:val="008F7CF2"/>
    <w:rsid w:val="00905A53"/>
    <w:rsid w:val="00914F6A"/>
    <w:rsid w:val="009158C7"/>
    <w:rsid w:val="009218C5"/>
    <w:rsid w:val="00953BD2"/>
    <w:rsid w:val="0097232B"/>
    <w:rsid w:val="00996591"/>
    <w:rsid w:val="009A1CC6"/>
    <w:rsid w:val="009C1088"/>
    <w:rsid w:val="00A01554"/>
    <w:rsid w:val="00A51E70"/>
    <w:rsid w:val="00A63473"/>
    <w:rsid w:val="00AA1D91"/>
    <w:rsid w:val="00B13AD6"/>
    <w:rsid w:val="00B314B1"/>
    <w:rsid w:val="00B349B5"/>
    <w:rsid w:val="00B5095C"/>
    <w:rsid w:val="00B600CC"/>
    <w:rsid w:val="00B612A5"/>
    <w:rsid w:val="00BB796B"/>
    <w:rsid w:val="00C04FFE"/>
    <w:rsid w:val="00C2492C"/>
    <w:rsid w:val="00C36026"/>
    <w:rsid w:val="00C421B5"/>
    <w:rsid w:val="00C77B3B"/>
    <w:rsid w:val="00CC4B5E"/>
    <w:rsid w:val="00D54973"/>
    <w:rsid w:val="00D834F1"/>
    <w:rsid w:val="00DD566B"/>
    <w:rsid w:val="00DF6030"/>
    <w:rsid w:val="00E3008E"/>
    <w:rsid w:val="00E36EB0"/>
    <w:rsid w:val="00E75BA4"/>
    <w:rsid w:val="00E853DC"/>
    <w:rsid w:val="00E92100"/>
    <w:rsid w:val="00EA1DAF"/>
    <w:rsid w:val="00F03656"/>
    <w:rsid w:val="00F07585"/>
    <w:rsid w:val="00F41CC3"/>
    <w:rsid w:val="00F6158E"/>
    <w:rsid w:val="00FB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482D1"/>
  <w15:docId w15:val="{F846495A-28B7-48E7-897D-35C7F591F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40C46"/>
    <w:rPr>
      <w:rFonts w:ascii="Calibri" w:eastAsia="Times New Roman" w:hAnsi="Calibri" w:cs="Times New Roman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ln"/>
    <w:next w:val="Normln"/>
    <w:link w:val="Nadpis1Char"/>
    <w:uiPriority w:val="9"/>
    <w:qFormat/>
    <w:rsid w:val="00040C46"/>
    <w:pPr>
      <w:keepNext/>
      <w:spacing w:before="240" w:after="60" w:line="240" w:lineRule="auto"/>
      <w:outlineLvl w:val="0"/>
    </w:pPr>
    <w:rPr>
      <w:rFonts w:ascii="Arial" w:hAnsi="Arial" w:cs="Arial"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"/>
    <w:rsid w:val="00040C46"/>
    <w:rPr>
      <w:rFonts w:ascii="Arial" w:eastAsia="Times New Roman" w:hAnsi="Arial" w:cs="Arial"/>
      <w:kern w:val="32"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040C46"/>
    <w:pPr>
      <w:ind w:left="708"/>
    </w:pPr>
  </w:style>
  <w:style w:type="character" w:customStyle="1" w:styleId="NzevuraduChar">
    <w:name w:val="Název uradu Char"/>
    <w:link w:val="Nzevuradu"/>
    <w:uiPriority w:val="99"/>
    <w:locked/>
    <w:rsid w:val="00C04FFE"/>
    <w:rPr>
      <w:rFonts w:ascii="Georgia" w:hAnsi="Georgia" w:cs="RePublicStd"/>
      <w:sz w:val="24"/>
      <w:szCs w:val="24"/>
    </w:rPr>
  </w:style>
  <w:style w:type="paragraph" w:customStyle="1" w:styleId="Nzevuradu">
    <w:name w:val="Název uradu"/>
    <w:basedOn w:val="Normln"/>
    <w:link w:val="NzevuraduChar"/>
    <w:uiPriority w:val="99"/>
    <w:rsid w:val="00C04FFE"/>
    <w:pPr>
      <w:autoSpaceDE w:val="0"/>
      <w:autoSpaceDN w:val="0"/>
      <w:adjustRightInd w:val="0"/>
      <w:spacing w:before="226" w:after="0"/>
      <w:ind w:left="369" w:right="369"/>
    </w:pPr>
    <w:rPr>
      <w:rFonts w:ascii="Georgia" w:eastAsiaTheme="minorHAnsi" w:hAnsi="Georgia" w:cs="RePublicStd"/>
      <w:sz w:val="24"/>
      <w:szCs w:val="24"/>
    </w:rPr>
  </w:style>
  <w:style w:type="character" w:customStyle="1" w:styleId="AdresaChar">
    <w:name w:val="Adresa Char"/>
    <w:link w:val="Adresa"/>
    <w:uiPriority w:val="99"/>
    <w:locked/>
    <w:rsid w:val="00C04FFE"/>
    <w:rPr>
      <w:rFonts w:ascii="Georgia" w:hAnsi="Georgia" w:cs="RePublicStd"/>
      <w:sz w:val="16"/>
      <w:szCs w:val="16"/>
    </w:rPr>
  </w:style>
  <w:style w:type="paragraph" w:customStyle="1" w:styleId="Adresa">
    <w:name w:val="Adresa"/>
    <w:basedOn w:val="Normln"/>
    <w:link w:val="AdresaChar"/>
    <w:uiPriority w:val="99"/>
    <w:rsid w:val="00C04FFE"/>
    <w:pPr>
      <w:autoSpaceDE w:val="0"/>
      <w:autoSpaceDN w:val="0"/>
      <w:adjustRightInd w:val="0"/>
      <w:spacing w:after="0"/>
      <w:ind w:right="2"/>
    </w:pPr>
    <w:rPr>
      <w:rFonts w:ascii="Georgia" w:eastAsiaTheme="minorHAnsi" w:hAnsi="Georgia" w:cs="RePublicStd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C04FF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4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4FFE"/>
    <w:rPr>
      <w:rFonts w:ascii="Tahoma" w:eastAsia="Times New Roman" w:hAnsi="Tahoma" w:cs="Tahoma"/>
      <w:sz w:val="16"/>
      <w:szCs w:val="16"/>
    </w:rPr>
  </w:style>
  <w:style w:type="character" w:styleId="slostrnky">
    <w:name w:val="page number"/>
    <w:rsid w:val="009158C7"/>
  </w:style>
  <w:style w:type="paragraph" w:customStyle="1" w:styleId="ListParagraph1">
    <w:name w:val="List Paragraph1"/>
    <w:rsid w:val="00885EDD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/>
      <w:ind w:left="720"/>
      <w:jc w:val="both"/>
    </w:pPr>
    <w:rPr>
      <w:rFonts w:ascii="Cambria" w:eastAsia="Arial Unicode MS" w:hAnsi="Cambria" w:cs="Arial Unicode MS"/>
      <w:color w:val="000000"/>
      <w:sz w:val="24"/>
      <w:szCs w:val="24"/>
      <w:u w:color="000000"/>
      <w:bdr w:val="nil"/>
      <w:lang w:eastAsia="en-GB"/>
    </w:rPr>
  </w:style>
  <w:style w:type="numbering" w:customStyle="1" w:styleId="ImportedStyle2">
    <w:name w:val="Imported Style 2"/>
    <w:rsid w:val="00885EDD"/>
    <w:pPr>
      <w:numPr>
        <w:numId w:val="29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691EB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1EB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1EB6"/>
    <w:rPr>
      <w:rFonts w:ascii="Calibri" w:eastAsia="Times New Roman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EB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EB6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5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zv.cz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596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CR</Company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PAVLOVIĆOVÁ</dc:creator>
  <cp:keywords/>
  <dc:description/>
  <cp:lastModifiedBy>HRNČÍŘ Pavel</cp:lastModifiedBy>
  <cp:revision>4</cp:revision>
  <cp:lastPrinted>2021-08-30T08:34:00Z</cp:lastPrinted>
  <dcterms:created xsi:type="dcterms:W3CDTF">2022-10-03T09:18:00Z</dcterms:created>
  <dcterms:modified xsi:type="dcterms:W3CDTF">2022-10-04T08:08:00Z</dcterms:modified>
</cp:coreProperties>
</file>