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1F" w:rsidRPr="00B75126" w:rsidRDefault="0016731F" w:rsidP="0016731F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126">
        <w:rPr>
          <w:rFonts w:ascii="Times New Roman" w:hAnsi="Times New Roman" w:cs="Times New Roman"/>
          <w:b/>
          <w:sz w:val="24"/>
          <w:szCs w:val="24"/>
        </w:rPr>
        <w:t>Reasons of implementing the project</w:t>
      </w:r>
    </w:p>
    <w:p w:rsidR="0016731F" w:rsidRDefault="0016731F" w:rsidP="0016731F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Erdenet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Thermal Power Plant supplies the factories, offices, apartment buildings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heating except the consumers of the Thermal Power Plant,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Mining Company and delivers its produced electricity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Erdenet-Kharkhorin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Thermal Power Plant.  </w:t>
      </w:r>
    </w:p>
    <w:p w:rsidR="0016731F" w:rsidRDefault="0016731F" w:rsidP="0016731F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ETPP was first planned to produce 302.5 </w:t>
      </w:r>
      <w:proofErr w:type="spellStart"/>
      <w:r>
        <w:rPr>
          <w:rFonts w:ascii="Times New Roman" w:hAnsi="Times New Roman" w:cs="Times New Roman"/>
          <w:sz w:val="24"/>
          <w:szCs w:val="24"/>
        </w:rPr>
        <w:t>Gkal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heating energy and 28</w:t>
      </w:r>
      <w:proofErr w:type="gramStart"/>
      <w:r>
        <w:rPr>
          <w:rFonts w:ascii="Times New Roman" w:hAnsi="Times New Roman" w:cs="Times New Roman"/>
          <w:sz w:val="24"/>
          <w:szCs w:val="24"/>
        </w:rPr>
        <w:t>,8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 hour electricity and as well as its technical and economical specification. </w:t>
      </w:r>
    </w:p>
    <w:p w:rsidR="0016731F" w:rsidRPr="003753BB" w:rsidRDefault="0016731F" w:rsidP="0016731F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355"/>
        <w:gridCol w:w="2208"/>
        <w:gridCol w:w="1438"/>
        <w:gridCol w:w="1349"/>
        <w:gridCol w:w="1276"/>
        <w:gridCol w:w="6"/>
        <w:gridCol w:w="982"/>
        <w:gridCol w:w="1242"/>
      </w:tblGrid>
      <w:tr w:rsidR="0016731F" w:rsidTr="0018309B">
        <w:trPr>
          <w:jc w:val="center"/>
        </w:trPr>
        <w:tc>
          <w:tcPr>
            <w:tcW w:w="355" w:type="dxa"/>
            <w:vMerge w:val="restart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 Specifications of the Plant </w:t>
            </w:r>
          </w:p>
        </w:tc>
        <w:tc>
          <w:tcPr>
            <w:tcW w:w="1349" w:type="dxa"/>
            <w:vMerge w:val="restart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264" w:type="dxa"/>
            <w:gridSpan w:val="3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T&amp;ES</w:t>
            </w:r>
          </w:p>
        </w:tc>
        <w:tc>
          <w:tcPr>
            <w:tcW w:w="1242" w:type="dxa"/>
            <w:vMerge w:val="restart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</w:p>
        </w:tc>
      </w:tr>
      <w:tr w:rsidR="0016731F" w:rsidTr="0018309B">
        <w:trPr>
          <w:jc w:val="center"/>
        </w:trPr>
        <w:tc>
          <w:tcPr>
            <w:tcW w:w="355" w:type="dxa"/>
            <w:vMerge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Project </w:t>
            </w:r>
          </w:p>
        </w:tc>
        <w:tc>
          <w:tcPr>
            <w:tcW w:w="988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2011</w:t>
            </w:r>
          </w:p>
        </w:tc>
        <w:tc>
          <w:tcPr>
            <w:tcW w:w="1242" w:type="dxa"/>
            <w:vMerge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1F" w:rsidTr="0018309B">
        <w:trPr>
          <w:jc w:val="center"/>
        </w:trPr>
        <w:tc>
          <w:tcPr>
            <w:tcW w:w="355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6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Electricity produced per year</w:t>
            </w:r>
          </w:p>
        </w:tc>
        <w:tc>
          <w:tcPr>
            <w:tcW w:w="1349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Mil/kW </w:t>
            </w:r>
          </w:p>
        </w:tc>
        <w:tc>
          <w:tcPr>
            <w:tcW w:w="1282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162.3</w:t>
            </w:r>
          </w:p>
        </w:tc>
        <w:tc>
          <w:tcPr>
            <w:tcW w:w="982" w:type="dxa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134.59</w:t>
            </w:r>
          </w:p>
        </w:tc>
        <w:tc>
          <w:tcPr>
            <w:tcW w:w="1242" w:type="dxa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-27.71</w:t>
            </w:r>
          </w:p>
        </w:tc>
      </w:tr>
      <w:tr w:rsidR="0016731F" w:rsidTr="0018309B">
        <w:trPr>
          <w:jc w:val="center"/>
        </w:trPr>
        <w:tc>
          <w:tcPr>
            <w:tcW w:w="355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6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Electricity distributed per year</w:t>
            </w:r>
          </w:p>
        </w:tc>
        <w:tc>
          <w:tcPr>
            <w:tcW w:w="1349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Mil/kW</w:t>
            </w:r>
          </w:p>
        </w:tc>
        <w:tc>
          <w:tcPr>
            <w:tcW w:w="1282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127.4</w:t>
            </w:r>
          </w:p>
        </w:tc>
        <w:tc>
          <w:tcPr>
            <w:tcW w:w="982" w:type="dxa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106.0</w:t>
            </w:r>
          </w:p>
        </w:tc>
        <w:tc>
          <w:tcPr>
            <w:tcW w:w="1242" w:type="dxa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-21.4</w:t>
            </w:r>
          </w:p>
        </w:tc>
      </w:tr>
      <w:tr w:rsidR="0016731F" w:rsidTr="0018309B">
        <w:trPr>
          <w:jc w:val="center"/>
        </w:trPr>
        <w:tc>
          <w:tcPr>
            <w:tcW w:w="355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6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Domestic supply of electricity</w:t>
            </w:r>
          </w:p>
        </w:tc>
        <w:tc>
          <w:tcPr>
            <w:tcW w:w="1349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2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982" w:type="dxa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21.24</w:t>
            </w:r>
          </w:p>
        </w:tc>
        <w:tc>
          <w:tcPr>
            <w:tcW w:w="1242" w:type="dxa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+0.26</w:t>
            </w:r>
          </w:p>
        </w:tc>
      </w:tr>
      <w:tr w:rsidR="0016731F" w:rsidTr="0018309B">
        <w:trPr>
          <w:jc w:val="center"/>
        </w:trPr>
        <w:tc>
          <w:tcPr>
            <w:tcW w:w="355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6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Heating energy distribution /total/</w:t>
            </w:r>
          </w:p>
        </w:tc>
        <w:tc>
          <w:tcPr>
            <w:tcW w:w="1349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Gkal</w:t>
            </w:r>
            <w:proofErr w:type="spellEnd"/>
          </w:p>
        </w:tc>
        <w:tc>
          <w:tcPr>
            <w:tcW w:w="1282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966.8</w:t>
            </w:r>
          </w:p>
        </w:tc>
        <w:tc>
          <w:tcPr>
            <w:tcW w:w="982" w:type="dxa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521.67</w:t>
            </w:r>
          </w:p>
        </w:tc>
        <w:tc>
          <w:tcPr>
            <w:tcW w:w="1242" w:type="dxa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-445.13</w:t>
            </w:r>
          </w:p>
        </w:tc>
      </w:tr>
      <w:tr w:rsidR="0016731F" w:rsidTr="0018309B">
        <w:trPr>
          <w:jc w:val="center"/>
        </w:trPr>
        <w:tc>
          <w:tcPr>
            <w:tcW w:w="355" w:type="dxa"/>
            <w:vMerge w:val="restart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Heating energy distribution</w:t>
            </w:r>
          </w:p>
        </w:tc>
        <w:tc>
          <w:tcPr>
            <w:tcW w:w="1438" w:type="dxa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Vapor</w:t>
            </w:r>
          </w:p>
        </w:tc>
        <w:tc>
          <w:tcPr>
            <w:tcW w:w="1349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Gkal</w:t>
            </w:r>
            <w:proofErr w:type="spellEnd"/>
          </w:p>
        </w:tc>
        <w:tc>
          <w:tcPr>
            <w:tcW w:w="1282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259.5</w:t>
            </w:r>
          </w:p>
        </w:tc>
        <w:tc>
          <w:tcPr>
            <w:tcW w:w="982" w:type="dxa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30.709</w:t>
            </w:r>
          </w:p>
        </w:tc>
        <w:tc>
          <w:tcPr>
            <w:tcW w:w="1242" w:type="dxa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-228.79</w:t>
            </w:r>
          </w:p>
        </w:tc>
      </w:tr>
      <w:tr w:rsidR="0016731F" w:rsidTr="0018309B">
        <w:trPr>
          <w:jc w:val="center"/>
        </w:trPr>
        <w:tc>
          <w:tcPr>
            <w:tcW w:w="355" w:type="dxa"/>
            <w:vMerge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349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Gkal</w:t>
            </w:r>
            <w:proofErr w:type="spellEnd"/>
          </w:p>
        </w:tc>
        <w:tc>
          <w:tcPr>
            <w:tcW w:w="1282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707.3</w:t>
            </w:r>
          </w:p>
        </w:tc>
        <w:tc>
          <w:tcPr>
            <w:tcW w:w="982" w:type="dxa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490.96</w:t>
            </w:r>
          </w:p>
        </w:tc>
        <w:tc>
          <w:tcPr>
            <w:tcW w:w="1242" w:type="dxa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-216.34</w:t>
            </w:r>
          </w:p>
        </w:tc>
      </w:tr>
      <w:tr w:rsidR="0016731F" w:rsidTr="0018309B">
        <w:trPr>
          <w:jc w:val="center"/>
        </w:trPr>
        <w:tc>
          <w:tcPr>
            <w:tcW w:w="355" w:type="dxa"/>
            <w:vMerge w:val="restart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  <w:vMerge w:val="restart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Fuel own consumption</w:t>
            </w:r>
          </w:p>
        </w:tc>
        <w:tc>
          <w:tcPr>
            <w:tcW w:w="1438" w:type="dxa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electricity</w:t>
            </w:r>
          </w:p>
        </w:tc>
        <w:tc>
          <w:tcPr>
            <w:tcW w:w="1349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g/kWh</w:t>
            </w:r>
          </w:p>
        </w:tc>
        <w:tc>
          <w:tcPr>
            <w:tcW w:w="1282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82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315.59</w:t>
            </w:r>
          </w:p>
        </w:tc>
        <w:tc>
          <w:tcPr>
            <w:tcW w:w="1242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+90.59</w:t>
            </w:r>
          </w:p>
        </w:tc>
      </w:tr>
      <w:tr w:rsidR="0016731F" w:rsidTr="0018309B">
        <w:trPr>
          <w:jc w:val="center"/>
        </w:trPr>
        <w:tc>
          <w:tcPr>
            <w:tcW w:w="355" w:type="dxa"/>
            <w:vMerge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heating</w:t>
            </w:r>
          </w:p>
        </w:tc>
        <w:tc>
          <w:tcPr>
            <w:tcW w:w="1349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Gkal</w:t>
            </w:r>
            <w:proofErr w:type="spellEnd"/>
          </w:p>
        </w:tc>
        <w:tc>
          <w:tcPr>
            <w:tcW w:w="1282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82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184.79</w:t>
            </w:r>
          </w:p>
        </w:tc>
        <w:tc>
          <w:tcPr>
            <w:tcW w:w="1242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+6.79</w:t>
            </w:r>
          </w:p>
        </w:tc>
      </w:tr>
      <w:tr w:rsidR="0016731F" w:rsidTr="0018309B">
        <w:trPr>
          <w:jc w:val="center"/>
        </w:trPr>
        <w:tc>
          <w:tcPr>
            <w:tcW w:w="355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6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hours of electrical capacity  per year as project </w:t>
            </w:r>
          </w:p>
        </w:tc>
        <w:tc>
          <w:tcPr>
            <w:tcW w:w="1349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Hour </w:t>
            </w:r>
          </w:p>
        </w:tc>
        <w:tc>
          <w:tcPr>
            <w:tcW w:w="1282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</w:t>
            </w:r>
          </w:p>
        </w:tc>
        <w:tc>
          <w:tcPr>
            <w:tcW w:w="982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3739.0</w:t>
            </w:r>
          </w:p>
        </w:tc>
        <w:tc>
          <w:tcPr>
            <w:tcW w:w="1242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-769.0</w:t>
            </w:r>
          </w:p>
        </w:tc>
      </w:tr>
      <w:tr w:rsidR="0016731F" w:rsidTr="0018309B">
        <w:trPr>
          <w:jc w:val="center"/>
        </w:trPr>
        <w:tc>
          <w:tcPr>
            <w:tcW w:w="355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6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hours of boilers’ installed capacity per year </w:t>
            </w:r>
          </w:p>
        </w:tc>
        <w:tc>
          <w:tcPr>
            <w:tcW w:w="1349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2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82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9.4%</w:t>
            </w:r>
          </w:p>
        </w:tc>
        <w:tc>
          <w:tcPr>
            <w:tcW w:w="1242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31F" w:rsidRDefault="0016731F" w:rsidP="0016731F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731F" w:rsidRDefault="0016731F" w:rsidP="0016731F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equipment </w:t>
      </w:r>
    </w:p>
    <w:p w:rsidR="0016731F" w:rsidRDefault="0016731F" w:rsidP="0016731F">
      <w:pPr>
        <w:pStyle w:val="ListParagraph"/>
        <w:numPr>
          <w:ilvl w:val="0"/>
          <w:numId w:val="1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Boiler BKZ-75-39FB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pcs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31F" w:rsidRDefault="0016731F" w:rsidP="0016731F">
      <w:pPr>
        <w:pStyle w:val="ListParagraph"/>
        <w:numPr>
          <w:ilvl w:val="0"/>
          <w:numId w:val="1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Turbine PT-12-35/10m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pc </w:t>
      </w:r>
    </w:p>
    <w:p w:rsidR="0016731F" w:rsidRDefault="0016731F" w:rsidP="0016731F">
      <w:pPr>
        <w:pStyle w:val="ListParagraph"/>
        <w:numPr>
          <w:ilvl w:val="0"/>
          <w:numId w:val="1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Turbine P-12-35/5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pcs</w:t>
      </w:r>
      <w:proofErr w:type="spellEnd"/>
    </w:p>
    <w:p w:rsidR="0016731F" w:rsidRDefault="0016731F" w:rsidP="001673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731F" w:rsidRPr="00062D75" w:rsidRDefault="0016731F" w:rsidP="0016731F">
      <w:pPr>
        <w:rPr>
          <w:rFonts w:ascii="Times New Roman" w:hAnsi="Times New Roman" w:cs="Times New Roman"/>
          <w:sz w:val="24"/>
          <w:szCs w:val="24"/>
        </w:rPr>
      </w:pPr>
      <w:r w:rsidRPr="00062D75">
        <w:rPr>
          <w:rFonts w:ascii="Times New Roman" w:hAnsi="Times New Roman" w:cs="Times New Roman"/>
          <w:sz w:val="24"/>
          <w:szCs w:val="24"/>
        </w:rPr>
        <w:t>Heating Equipment:</w:t>
      </w:r>
    </w:p>
    <w:p w:rsidR="0016731F" w:rsidRDefault="0016731F" w:rsidP="0016731F">
      <w:pPr>
        <w:pStyle w:val="ListParagraph"/>
        <w:numPr>
          <w:ilvl w:val="0"/>
          <w:numId w:val="2"/>
        </w:numPr>
        <w:tabs>
          <w:tab w:val="left" w:pos="1170"/>
        </w:tabs>
        <w:ind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 Boiler PSB-500-3-23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pcs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31F" w:rsidRDefault="0016731F" w:rsidP="0016731F">
      <w:pPr>
        <w:pStyle w:val="ListParagraph"/>
        <w:numPr>
          <w:ilvl w:val="0"/>
          <w:numId w:val="2"/>
        </w:numPr>
        <w:tabs>
          <w:tab w:val="left" w:pos="1170"/>
        </w:tabs>
        <w:ind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Boiler PSB-500-14-23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pcs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31F" w:rsidRDefault="0016731F" w:rsidP="0016731F">
      <w:pPr>
        <w:pStyle w:val="ListParagraph"/>
        <w:numPr>
          <w:ilvl w:val="0"/>
          <w:numId w:val="2"/>
        </w:numPr>
        <w:tabs>
          <w:tab w:val="left" w:pos="1170"/>
        </w:tabs>
        <w:ind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Boiler Condensing Freezer PSB-315-14-23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pcs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31F" w:rsidRDefault="0016731F" w:rsidP="0016731F">
      <w:pPr>
        <w:pStyle w:val="ListParagraph"/>
        <w:numPr>
          <w:ilvl w:val="0"/>
          <w:numId w:val="2"/>
        </w:numPr>
        <w:tabs>
          <w:tab w:val="left" w:pos="1170"/>
        </w:tabs>
        <w:ind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 Pump SE-1250-140-11-04</w:t>
      </w:r>
      <w:r>
        <w:rPr>
          <w:rFonts w:ascii="Times New Roman" w:hAnsi="Times New Roman" w:cs="Times New Roman"/>
          <w:sz w:val="24"/>
          <w:szCs w:val="24"/>
        </w:rPr>
        <w:tab/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pcs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31F" w:rsidRDefault="0016731F" w:rsidP="0016731F">
      <w:pPr>
        <w:pStyle w:val="ListParagraph"/>
        <w:numPr>
          <w:ilvl w:val="0"/>
          <w:numId w:val="2"/>
        </w:numPr>
        <w:tabs>
          <w:tab w:val="left" w:pos="1170"/>
        </w:tabs>
        <w:ind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 Pump SE-500-70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pc</w:t>
      </w:r>
    </w:p>
    <w:p w:rsidR="0016731F" w:rsidRDefault="0016731F" w:rsidP="0016731F">
      <w:pPr>
        <w:pStyle w:val="ListParagraph"/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731F" w:rsidRDefault="0016731F" w:rsidP="0016731F">
      <w:pPr>
        <w:pStyle w:val="ListParagraph"/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731F" w:rsidRPr="00B75126" w:rsidRDefault="0016731F" w:rsidP="0016731F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RATIONALES OF THE </w:t>
      </w:r>
      <w:r w:rsidRPr="00B75126">
        <w:rPr>
          <w:rFonts w:ascii="Times New Roman" w:hAnsi="Times New Roman" w:cs="Times New Roman"/>
          <w:b/>
          <w:sz w:val="24"/>
          <w:szCs w:val="24"/>
        </w:rPr>
        <w:t>PROJECT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31F" w:rsidRDefault="0016731F" w:rsidP="0016731F">
      <w:pPr>
        <w:pStyle w:val="ListParagraph"/>
        <w:numPr>
          <w:ilvl w:val="0"/>
          <w:numId w:val="4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61A">
        <w:rPr>
          <w:rFonts w:ascii="Times New Roman" w:hAnsi="Times New Roman" w:cs="Times New Roman"/>
          <w:sz w:val="24"/>
          <w:szCs w:val="24"/>
        </w:rPr>
        <w:t>Not operating at full installed capacity (producing 162.3 mil/kW/134.6 mil/kW which is 82% of full capacity; distributing heating energy – 955.25</w:t>
      </w:r>
      <w:r w:rsidRPr="00A106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A1061A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A106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061A">
        <w:rPr>
          <w:rFonts w:ascii="Times New Roman" w:hAnsi="Times New Roman" w:cs="Times New Roman"/>
          <w:sz w:val="24"/>
          <w:szCs w:val="24"/>
        </w:rPr>
        <w:t>Gkal</w:t>
      </w:r>
      <w:proofErr w:type="spellEnd"/>
      <w:r w:rsidRPr="00A1061A">
        <w:rPr>
          <w:rFonts w:ascii="Times New Roman" w:hAnsi="Times New Roman" w:cs="Times New Roman"/>
          <w:sz w:val="24"/>
          <w:szCs w:val="24"/>
        </w:rPr>
        <w:t>/521.7</w:t>
      </w:r>
      <w:r w:rsidRPr="00A106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A1061A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A106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061A">
        <w:rPr>
          <w:rFonts w:ascii="Times New Roman" w:hAnsi="Times New Roman" w:cs="Times New Roman"/>
          <w:sz w:val="24"/>
          <w:szCs w:val="24"/>
        </w:rPr>
        <w:t>Gkal</w:t>
      </w:r>
      <w:proofErr w:type="spellEnd"/>
      <w:r w:rsidRPr="00A1061A">
        <w:rPr>
          <w:rFonts w:ascii="Times New Roman" w:hAnsi="Times New Roman" w:cs="Times New Roman"/>
          <w:sz w:val="24"/>
          <w:szCs w:val="24"/>
        </w:rPr>
        <w:t xml:space="preserve"> which is 54.6% of full capacity) </w:t>
      </w:r>
    </w:p>
    <w:p w:rsidR="0016731F" w:rsidRPr="00A1061A" w:rsidRDefault="0016731F" w:rsidP="0016731F">
      <w:pPr>
        <w:pStyle w:val="ListParagraph"/>
        <w:numPr>
          <w:ilvl w:val="0"/>
          <w:numId w:val="4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61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TG</w:t>
      </w:r>
      <w:r w:rsidRPr="00A1061A">
        <w:rPr>
          <w:rFonts w:ascii="Times New Roman" w:hAnsi="Times New Roman" w:cs="Times New Roman"/>
          <w:sz w:val="24"/>
          <w:szCs w:val="24"/>
        </w:rPr>
        <w:t>-1turbine</w:t>
      </w:r>
      <w:r>
        <w:rPr>
          <w:rFonts w:ascii="Times New Roman" w:hAnsi="Times New Roman" w:cs="Times New Roman"/>
          <w:sz w:val="24"/>
          <w:szCs w:val="24"/>
        </w:rPr>
        <w:t>’s working hour has</w:t>
      </w:r>
      <w:r w:rsidRPr="00A1061A">
        <w:rPr>
          <w:rFonts w:ascii="Times New Roman" w:hAnsi="Times New Roman" w:cs="Times New Roman"/>
          <w:sz w:val="24"/>
          <w:szCs w:val="24"/>
        </w:rPr>
        <w:t xml:space="preserve"> been in excess of 150000 hours of guarantee given by</w:t>
      </w:r>
      <w:r>
        <w:rPr>
          <w:rFonts w:ascii="Times New Roman" w:hAnsi="Times New Roman" w:cs="Times New Roman"/>
          <w:sz w:val="24"/>
          <w:szCs w:val="24"/>
        </w:rPr>
        <w:t xml:space="preserve"> the f</w:t>
      </w:r>
      <w:r w:rsidRPr="00A1061A">
        <w:rPr>
          <w:rFonts w:ascii="Times New Roman" w:hAnsi="Times New Roman" w:cs="Times New Roman"/>
          <w:sz w:val="24"/>
          <w:szCs w:val="24"/>
        </w:rPr>
        <w:t>actory</w:t>
      </w:r>
      <w:r>
        <w:rPr>
          <w:rFonts w:ascii="Times New Roman" w:hAnsi="Times New Roman" w:cs="Times New Roman"/>
          <w:sz w:val="24"/>
          <w:szCs w:val="24"/>
        </w:rPr>
        <w:t xml:space="preserve"> /worked 188234 hours totally/</w:t>
      </w:r>
      <w:r w:rsidRPr="00A10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31F" w:rsidRDefault="0016731F" w:rsidP="0016731F">
      <w:pPr>
        <w:pStyle w:val="ListParagraph"/>
        <w:numPr>
          <w:ilvl w:val="0"/>
          <w:numId w:val="4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costs of electricity and heating energy are high</w:t>
      </w:r>
    </w:p>
    <w:p w:rsidR="0016731F" w:rsidRPr="003A20EE" w:rsidRDefault="0016731F" w:rsidP="0016731F">
      <w:pPr>
        <w:pStyle w:val="ListParagraph"/>
        <w:numPr>
          <w:ilvl w:val="0"/>
          <w:numId w:val="4"/>
        </w:numPr>
        <w:tabs>
          <w:tab w:val="left" w:pos="117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consumption of backpressure Turbine P vapor with 6 </w:t>
      </w:r>
      <w:proofErr w:type="spellStart"/>
      <w:r>
        <w:rPr>
          <w:rFonts w:ascii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/5-7ata/, 126-150ton vapor at 280-300</w:t>
      </w:r>
      <w:r w:rsidRPr="00A1061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3A20EE">
        <w:rPr>
          <w:rFonts w:ascii="Times New Roman" w:hAnsi="Times New Roman" w:cs="Times New Roman"/>
          <w:i/>
          <w:sz w:val="24"/>
          <w:szCs w:val="24"/>
        </w:rPr>
        <w:t>Felt, felt boots factory, Wood processing factory, Poultry husbandry, 7a, 7b, 8, 9, and 10</w:t>
      </w:r>
      <w:r w:rsidRPr="003A20E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3A20EE">
        <w:rPr>
          <w:rFonts w:ascii="Times New Roman" w:hAnsi="Times New Roman" w:cs="Times New Roman"/>
          <w:i/>
          <w:sz w:val="24"/>
          <w:szCs w:val="24"/>
        </w:rPr>
        <w:t xml:space="preserve"> Apartment Building Blocks, Carpet factory, and Food factory, </w:t>
      </w:r>
      <w:r>
        <w:rPr>
          <w:rFonts w:ascii="Times New Roman" w:hAnsi="Times New Roman" w:cs="Times New Roman"/>
          <w:i/>
          <w:sz w:val="24"/>
          <w:szCs w:val="24"/>
        </w:rPr>
        <w:t>estimated</w:t>
      </w:r>
      <w:r w:rsidRPr="003A20EE">
        <w:rPr>
          <w:rFonts w:ascii="Times New Roman" w:hAnsi="Times New Roman" w:cs="Times New Roman"/>
          <w:i/>
          <w:sz w:val="24"/>
          <w:szCs w:val="24"/>
        </w:rPr>
        <w:t xml:space="preserve"> to</w:t>
      </w:r>
      <w:r>
        <w:rPr>
          <w:rFonts w:ascii="Times New Roman" w:hAnsi="Times New Roman" w:cs="Times New Roman"/>
          <w:i/>
          <w:sz w:val="24"/>
          <w:szCs w:val="24"/>
        </w:rPr>
        <w:t xml:space="preserve"> be the greatest </w:t>
      </w:r>
      <w:r w:rsidRPr="003A20EE">
        <w:rPr>
          <w:rFonts w:ascii="Times New Roman" w:hAnsi="Times New Roman" w:cs="Times New Roman"/>
          <w:i/>
          <w:sz w:val="24"/>
          <w:szCs w:val="24"/>
        </w:rPr>
        <w:t>vapor consum</w:t>
      </w:r>
      <w:r>
        <w:rPr>
          <w:rFonts w:ascii="Times New Roman" w:hAnsi="Times New Roman" w:cs="Times New Roman"/>
          <w:i/>
          <w:sz w:val="24"/>
          <w:szCs w:val="24"/>
        </w:rPr>
        <w:t>ers</w:t>
      </w:r>
      <w:r w:rsidRPr="003A20EE">
        <w:rPr>
          <w:rFonts w:ascii="Times New Roman" w:hAnsi="Times New Roman" w:cs="Times New Roman"/>
          <w:i/>
          <w:sz w:val="24"/>
          <w:szCs w:val="24"/>
        </w:rPr>
        <w:t xml:space="preserve">, were not built and there is no consumption of 220 ton vapor with 6 </w:t>
      </w:r>
      <w:proofErr w:type="spellStart"/>
      <w:r w:rsidRPr="003A20EE">
        <w:rPr>
          <w:rFonts w:ascii="Times New Roman" w:hAnsi="Times New Roman" w:cs="Times New Roman"/>
          <w:i/>
          <w:sz w:val="24"/>
          <w:szCs w:val="24"/>
        </w:rPr>
        <w:t>ata</w:t>
      </w:r>
      <w:proofErr w:type="spellEnd"/>
      <w:r w:rsidRPr="003A20EE">
        <w:rPr>
          <w:rFonts w:ascii="Times New Roman" w:hAnsi="Times New Roman" w:cs="Times New Roman"/>
          <w:i/>
          <w:sz w:val="24"/>
          <w:szCs w:val="24"/>
        </w:rPr>
        <w:t xml:space="preserve"> P at 280</w:t>
      </w:r>
      <w:r w:rsidRPr="003A20EE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Pr="003A20EE">
        <w:rPr>
          <w:rFonts w:ascii="Times New Roman" w:hAnsi="Times New Roman" w:cs="Times New Roman"/>
          <w:i/>
          <w:sz w:val="24"/>
          <w:szCs w:val="24"/>
        </w:rPr>
        <w:t xml:space="preserve">C in summer. As a result, it is impossible to work turbine 2P in non-heating seasons. </w:t>
      </w:r>
    </w:p>
    <w:p w:rsidR="0016731F" w:rsidRDefault="0016731F" w:rsidP="0016731F">
      <w:pPr>
        <w:pStyle w:val="ListParagraph"/>
        <w:numPr>
          <w:ilvl w:val="0"/>
          <w:numId w:val="4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project was approved by the Science and Technical Commission at the Energy Branch on Aug 22, 2002. There are many papers approving the project. </w:t>
      </w:r>
    </w:p>
    <w:p w:rsidR="0016731F" w:rsidRDefault="0016731F" w:rsidP="0016731F">
      <w:pPr>
        <w:pStyle w:val="ListParagraph"/>
        <w:numPr>
          <w:ilvl w:val="0"/>
          <w:numId w:val="4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project’s technical and economical specifications were made by the group of scientists at University of Science and Technology and Siberian Science Academy, Russia.  /2005/</w:t>
      </w:r>
    </w:p>
    <w:p w:rsidR="0016731F" w:rsidRDefault="0016731F" w:rsidP="0016731F">
      <w:pPr>
        <w:pStyle w:val="ListParagraph"/>
        <w:numPr>
          <w:ilvl w:val="0"/>
          <w:numId w:val="4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necessary to increase its capacity since installed capacity of energy system is 630MW, the consumption has reached to 802MW, and it has been rising constantly. </w:t>
      </w:r>
    </w:p>
    <w:p w:rsidR="0016731F" w:rsidRDefault="0016731F" w:rsidP="0016731F">
      <w:pPr>
        <w:tabs>
          <w:tab w:val="left" w:pos="117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Resolving </w:t>
      </w:r>
    </w:p>
    <w:p w:rsidR="0016731F" w:rsidRDefault="0016731F" w:rsidP="0016731F">
      <w:pPr>
        <w:pStyle w:val="ListParagraph"/>
        <w:numPr>
          <w:ilvl w:val="0"/>
          <w:numId w:val="5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>Extending with 30 MW Turbine PT or K</w:t>
      </w:r>
    </w:p>
    <w:p w:rsidR="0016731F" w:rsidRDefault="0016731F" w:rsidP="0016731F">
      <w:pPr>
        <w:pStyle w:val="ListParagraph"/>
        <w:numPr>
          <w:ilvl w:val="0"/>
          <w:numId w:val="5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Replacing Turbine P-12 with Turbine PT </w:t>
      </w:r>
    </w:p>
    <w:p w:rsidR="0016731F" w:rsidRDefault="0016731F" w:rsidP="0016731F">
      <w:pPr>
        <w:pStyle w:val="ListParagraph"/>
        <w:numPr>
          <w:ilvl w:val="0"/>
          <w:numId w:val="5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Installing 25MW Turbine  with 5-7 </w:t>
      </w:r>
      <w:proofErr w:type="spellStart"/>
      <w:r>
        <w:rPr>
          <w:rFonts w:ascii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280-300</w:t>
      </w:r>
      <w:r w:rsidRPr="00DB11E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</w:p>
    <w:p w:rsidR="0016731F" w:rsidRPr="00DB11E7" w:rsidRDefault="0016731F" w:rsidP="0016731F">
      <w:pPr>
        <w:tabs>
          <w:tab w:val="left" w:pos="117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1E7">
        <w:rPr>
          <w:rFonts w:ascii="Times New Roman" w:hAnsi="Times New Roman" w:cs="Times New Roman"/>
          <w:i/>
          <w:sz w:val="24"/>
          <w:szCs w:val="24"/>
        </w:rPr>
        <w:t xml:space="preserve">It is considered that installing PT-30-3.4/10 Turbine is a beneficial version.  </w:t>
      </w:r>
    </w:p>
    <w:p w:rsidR="0016731F" w:rsidRDefault="0016731F" w:rsidP="0016731F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Advantages of extension </w:t>
      </w:r>
    </w:p>
    <w:p w:rsidR="0016731F" w:rsidRDefault="0016731F" w:rsidP="0016731F">
      <w:pPr>
        <w:pStyle w:val="ListParagraph"/>
        <w:numPr>
          <w:ilvl w:val="0"/>
          <w:numId w:val="6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1E7">
        <w:rPr>
          <w:rFonts w:ascii="Times New Roman" w:hAnsi="Times New Roman" w:cs="Times New Roman"/>
          <w:sz w:val="24"/>
          <w:szCs w:val="24"/>
        </w:rPr>
        <w:t xml:space="preserve">Having 4.0 hectare-own land to build extension and Grader cooling system </w:t>
      </w:r>
    </w:p>
    <w:p w:rsidR="0016731F" w:rsidRDefault="0016731F" w:rsidP="0016731F">
      <w:pPr>
        <w:pStyle w:val="ListParagraph"/>
        <w:numPr>
          <w:ilvl w:val="0"/>
          <w:numId w:val="6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enough capacity of equipment for additional 3 boilers </w:t>
      </w:r>
    </w:p>
    <w:p w:rsidR="0016731F" w:rsidRPr="00C83A9A" w:rsidRDefault="0016731F" w:rsidP="0016731F">
      <w:pPr>
        <w:pStyle w:val="ListParagraph"/>
        <w:numPr>
          <w:ilvl w:val="0"/>
          <w:numId w:val="6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21DE">
        <w:rPr>
          <w:rFonts w:ascii="Times New Roman" w:hAnsi="Times New Roman" w:cs="Times New Roman"/>
          <w:sz w:val="24"/>
          <w:szCs w:val="24"/>
        </w:rPr>
        <w:t xml:space="preserve">Having own conveying wagons and railway to receive </w:t>
      </w:r>
      <w:r>
        <w:rPr>
          <w:rFonts w:ascii="Times New Roman" w:hAnsi="Times New Roman" w:cs="Times New Roman"/>
          <w:sz w:val="24"/>
          <w:szCs w:val="24"/>
        </w:rPr>
        <w:t xml:space="preserve">coals </w:t>
      </w:r>
      <w:r w:rsidRPr="00B221DE">
        <w:rPr>
          <w:rFonts w:ascii="Times New Roman" w:hAnsi="Times New Roman" w:cs="Times New Roman"/>
          <w:sz w:val="24"/>
          <w:szCs w:val="24"/>
        </w:rPr>
        <w:t xml:space="preserve">from mining </w:t>
      </w:r>
    </w:p>
    <w:p w:rsidR="0016731F" w:rsidRDefault="0016731F" w:rsidP="0016731F">
      <w:pPr>
        <w:pStyle w:val="ListParagraph"/>
        <w:numPr>
          <w:ilvl w:val="0"/>
          <w:numId w:val="6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Existing next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mining company, the biggest consumer of electricity energy in Mongolia </w:t>
      </w:r>
    </w:p>
    <w:p w:rsidR="0016731F" w:rsidRDefault="0016731F" w:rsidP="0016731F">
      <w:pPr>
        <w:pStyle w:val="ListParagraph"/>
        <w:numPr>
          <w:ilvl w:val="0"/>
          <w:numId w:val="6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heating system is one of the sections at the plant and heating energy selling is made by Sales Department at the plant</w:t>
      </w:r>
    </w:p>
    <w:p w:rsidR="0016731F" w:rsidRDefault="0016731F" w:rsidP="0016731F">
      <w:pPr>
        <w:pStyle w:val="ListParagraph"/>
        <w:numPr>
          <w:ilvl w:val="0"/>
          <w:numId w:val="6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5 and 6</w:t>
      </w:r>
      <w:r w:rsidRPr="00105C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apartment blocks, Technological Production Park, and many other factories having high technological vapor consumption are intending to be built. Moreover, the population growth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increasing over 87000 and the consumption of electricity is growing as well. </w:t>
      </w:r>
    </w:p>
    <w:p w:rsidR="0016731F" w:rsidRDefault="0016731F" w:rsidP="0016731F">
      <w:pPr>
        <w:pStyle w:val="ListParagraph"/>
        <w:numPr>
          <w:ilvl w:val="0"/>
          <w:numId w:val="6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plant has a monopoly of producing heating energy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31F" w:rsidRDefault="0016731F" w:rsidP="0016731F">
      <w:pPr>
        <w:pStyle w:val="ListParagraph"/>
        <w:numPr>
          <w:ilvl w:val="0"/>
          <w:numId w:val="6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is possible to be supported by the State as it’s State Share-Holding company </w:t>
      </w:r>
    </w:p>
    <w:p w:rsidR="0016731F" w:rsidRDefault="0016731F" w:rsidP="0016731F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Aspects has to be solved during the extension </w:t>
      </w:r>
    </w:p>
    <w:p w:rsidR="0016731F" w:rsidRDefault="0016731F" w:rsidP="0016731F">
      <w:pPr>
        <w:pStyle w:val="ListParagraph"/>
        <w:numPr>
          <w:ilvl w:val="0"/>
          <w:numId w:val="7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estimate to work in warm seasons under the condensation mode when installing a new turbine condensate </w:t>
      </w:r>
    </w:p>
    <w:p w:rsidR="0016731F" w:rsidRDefault="0016731F" w:rsidP="0016731F">
      <w:pPr>
        <w:pStyle w:val="ListParagraph"/>
        <w:numPr>
          <w:ilvl w:val="0"/>
          <w:numId w:val="7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build a new gradient as capacity of the cooling water pond is not enough </w:t>
      </w:r>
    </w:p>
    <w:p w:rsidR="0016731F" w:rsidRDefault="0016731F" w:rsidP="0016731F">
      <w:pPr>
        <w:pStyle w:val="ListParagraph"/>
        <w:numPr>
          <w:ilvl w:val="0"/>
          <w:numId w:val="7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build a new additional boilers as the consumption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constantly increasing </w:t>
      </w:r>
    </w:p>
    <w:p w:rsidR="0016731F" w:rsidRDefault="0016731F" w:rsidP="0016731F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 </w:t>
      </w:r>
    </w:p>
    <w:p w:rsidR="0016731F" w:rsidRDefault="0016731F" w:rsidP="0016731F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amount of an import of electricity energy will decrease when there is a stable resource of power energy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region. </w:t>
      </w:r>
    </w:p>
    <w:p w:rsidR="0016731F" w:rsidRDefault="0016731F" w:rsidP="0016731F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be able to supply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consumers with reliable heating energy </w:t>
      </w:r>
    </w:p>
    <w:p w:rsidR="0016731F" w:rsidRDefault="0016731F" w:rsidP="0016731F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amount of production of electricity energy will increase </w:t>
      </w:r>
      <w:proofErr w:type="gramStart"/>
      <w:r>
        <w:rPr>
          <w:rFonts w:ascii="Times New Roman" w:hAnsi="Times New Roman" w:cs="Times New Roman"/>
          <w:sz w:val="24"/>
          <w:szCs w:val="24"/>
        </w:rPr>
        <w:t>by approximately 175.3 mil/kW per year</w:t>
      </w:r>
      <w:proofErr w:type="gramEnd"/>
      <w:r>
        <w:rPr>
          <w:rFonts w:ascii="Times New Roman" w:hAnsi="Times New Roman" w:cs="Times New Roman"/>
          <w:sz w:val="24"/>
          <w:szCs w:val="24"/>
        </w:rPr>
        <w:t>, production cost will be fallen from 85.39 tug/kWh to 73.6</w:t>
      </w:r>
      <w:r w:rsidRPr="00CF5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tug/kWh, and the percentage of the domestic consumption of electricity will decrease to 19.76%. </w:t>
      </w:r>
    </w:p>
    <w:p w:rsidR="0016731F" w:rsidRDefault="0016731F" w:rsidP="0016731F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plant will be able to work continually and constantly and the working hours of installed capacity will increase. </w:t>
      </w:r>
    </w:p>
    <w:p w:rsidR="0016731F" w:rsidRDefault="0016731F" w:rsidP="0016731F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capacity and reliable production of the heating water construction network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improve. </w:t>
      </w:r>
    </w:p>
    <w:tbl>
      <w:tblPr>
        <w:tblStyle w:val="TableGrid"/>
        <w:tblW w:w="0" w:type="auto"/>
        <w:tblLayout w:type="fixed"/>
        <w:tblLook w:val="04A0"/>
      </w:tblPr>
      <w:tblGrid>
        <w:gridCol w:w="378"/>
        <w:gridCol w:w="4500"/>
        <w:gridCol w:w="1440"/>
        <w:gridCol w:w="3258"/>
      </w:tblGrid>
      <w:tr w:rsidR="0016731F" w:rsidTr="0018309B">
        <w:tc>
          <w:tcPr>
            <w:tcW w:w="378" w:type="dxa"/>
            <w:vAlign w:val="center"/>
          </w:tcPr>
          <w:p w:rsidR="0016731F" w:rsidRDefault="0016731F" w:rsidP="001830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4500" w:type="dxa"/>
            <w:vAlign w:val="center"/>
          </w:tcPr>
          <w:p w:rsidR="0016731F" w:rsidRDefault="0016731F" w:rsidP="001830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Equipments to be built</w:t>
            </w:r>
          </w:p>
        </w:tc>
        <w:tc>
          <w:tcPr>
            <w:tcW w:w="1440" w:type="dxa"/>
            <w:vAlign w:val="center"/>
          </w:tcPr>
          <w:p w:rsidR="0016731F" w:rsidRDefault="0016731F" w:rsidP="001830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Required budget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mil.dollars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58" w:type="dxa"/>
            <w:vAlign w:val="center"/>
          </w:tcPr>
          <w:p w:rsidR="0016731F" w:rsidRDefault="0016731F" w:rsidP="001830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</w:tr>
      <w:tr w:rsidR="0016731F" w:rsidTr="0018309B">
        <w:tc>
          <w:tcPr>
            <w:tcW w:w="378" w:type="dxa"/>
            <w:vAlign w:val="center"/>
          </w:tcPr>
          <w:p w:rsidR="0016731F" w:rsidRDefault="0016731F" w:rsidP="001830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16731F" w:rsidRDefault="0016731F" w:rsidP="0018309B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Turbine PT-30-3.4/10, its accessories, lines, extension building, gradient, electrical generator, transformation, and oil cutter </w:t>
            </w:r>
          </w:p>
        </w:tc>
        <w:tc>
          <w:tcPr>
            <w:tcW w:w="1440" w:type="dxa"/>
            <w:vAlign w:val="center"/>
          </w:tcPr>
          <w:p w:rsidR="0016731F" w:rsidRDefault="0016731F" w:rsidP="001830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3258" w:type="dxa"/>
          </w:tcPr>
          <w:p w:rsidR="0016731F" w:rsidRDefault="0016731F" w:rsidP="0018309B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Compared the cost of Turbine extension at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Darkhan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Thermal Power Plant </w:t>
            </w:r>
          </w:p>
        </w:tc>
      </w:tr>
      <w:tr w:rsidR="0016731F" w:rsidTr="0018309B">
        <w:tc>
          <w:tcPr>
            <w:tcW w:w="378" w:type="dxa"/>
            <w:vAlign w:val="center"/>
          </w:tcPr>
          <w:p w:rsidR="0016731F" w:rsidRDefault="0016731F" w:rsidP="001830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16731F" w:rsidRDefault="0016731F" w:rsidP="0018309B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Boiler construction </w:t>
            </w:r>
          </w:p>
        </w:tc>
        <w:tc>
          <w:tcPr>
            <w:tcW w:w="1440" w:type="dxa"/>
            <w:vAlign w:val="center"/>
          </w:tcPr>
          <w:p w:rsidR="0016731F" w:rsidRDefault="0016731F" w:rsidP="001830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8" w:type="dxa"/>
          </w:tcPr>
          <w:p w:rsidR="0016731F" w:rsidRDefault="0016731F" w:rsidP="0018309B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market price </w:t>
            </w:r>
          </w:p>
        </w:tc>
      </w:tr>
      <w:tr w:rsidR="0016731F" w:rsidTr="0018309B">
        <w:tc>
          <w:tcPr>
            <w:tcW w:w="378" w:type="dxa"/>
            <w:vAlign w:val="center"/>
          </w:tcPr>
          <w:p w:rsidR="0016731F" w:rsidRDefault="0016731F" w:rsidP="001830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6731F" w:rsidRDefault="0016731F" w:rsidP="0018309B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reassemble the grader and cooler system </w:t>
            </w:r>
          </w:p>
        </w:tc>
        <w:tc>
          <w:tcPr>
            <w:tcW w:w="1440" w:type="dxa"/>
            <w:vAlign w:val="center"/>
          </w:tcPr>
          <w:p w:rsidR="0016731F" w:rsidRDefault="0016731F" w:rsidP="001830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58" w:type="dxa"/>
          </w:tcPr>
          <w:p w:rsidR="0016731F" w:rsidRDefault="0016731F" w:rsidP="0018309B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market price </w:t>
            </w:r>
          </w:p>
        </w:tc>
      </w:tr>
      <w:tr w:rsidR="0016731F" w:rsidTr="0018309B">
        <w:tc>
          <w:tcPr>
            <w:tcW w:w="378" w:type="dxa"/>
            <w:vAlign w:val="center"/>
          </w:tcPr>
          <w:p w:rsidR="0016731F" w:rsidRDefault="0016731F" w:rsidP="001830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6731F" w:rsidRDefault="0016731F" w:rsidP="0018309B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install 35kW power line with its relay and oil cutter </w:t>
            </w:r>
          </w:p>
        </w:tc>
        <w:tc>
          <w:tcPr>
            <w:tcW w:w="1440" w:type="dxa"/>
            <w:vAlign w:val="center"/>
          </w:tcPr>
          <w:p w:rsidR="0016731F" w:rsidRDefault="0016731F" w:rsidP="001830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3258" w:type="dxa"/>
          </w:tcPr>
          <w:p w:rsidR="0016731F" w:rsidRDefault="0016731F" w:rsidP="0018309B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magazine “Power Energy” #1 /page 45/</w:t>
            </w:r>
          </w:p>
        </w:tc>
      </w:tr>
      <w:tr w:rsidR="0016731F" w:rsidTr="0018309B">
        <w:tc>
          <w:tcPr>
            <w:tcW w:w="378" w:type="dxa"/>
            <w:vAlign w:val="center"/>
          </w:tcPr>
          <w:p w:rsidR="0016731F" w:rsidRDefault="0016731F" w:rsidP="001830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6731F" w:rsidRDefault="0016731F" w:rsidP="0018309B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440" w:type="dxa"/>
            <w:vAlign w:val="center"/>
          </w:tcPr>
          <w:p w:rsidR="0016731F" w:rsidRDefault="0016731F" w:rsidP="0018309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3258" w:type="dxa"/>
          </w:tcPr>
          <w:p w:rsidR="0016731F" w:rsidRDefault="0016731F" w:rsidP="0018309B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31F" w:rsidRDefault="0016731F" w:rsidP="0016731F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731F" w:rsidRPr="00170E78" w:rsidRDefault="0016731F" w:rsidP="0016731F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estimated that it will be able to pay back its cost within 12.9 years.  </w:t>
      </w:r>
    </w:p>
    <w:p w:rsidR="0016731F" w:rsidRDefault="0016731F" w:rsidP="0016731F">
      <w:pPr>
        <w:pStyle w:val="ListParagraph"/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731F" w:rsidRDefault="0016731F" w:rsidP="0016731F">
      <w:pPr>
        <w:pStyle w:val="ListParagraph"/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61BC" w:rsidRDefault="00D561BC" w:rsidP="0016731F">
      <w:pPr>
        <w:pStyle w:val="ListParagraph"/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61BC" w:rsidRDefault="00D561BC" w:rsidP="0016731F">
      <w:pPr>
        <w:pStyle w:val="ListParagraph"/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61BC" w:rsidRDefault="00D561BC" w:rsidP="0016731F">
      <w:pPr>
        <w:pStyle w:val="ListParagraph"/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61BC" w:rsidRDefault="00D561BC" w:rsidP="0016731F">
      <w:pPr>
        <w:pStyle w:val="ListParagraph"/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61BC" w:rsidRDefault="00D561BC" w:rsidP="0016731F">
      <w:pPr>
        <w:pStyle w:val="ListParagraph"/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61BC" w:rsidRDefault="00D561BC" w:rsidP="0016731F">
      <w:pPr>
        <w:pStyle w:val="ListParagraph"/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61BC" w:rsidRDefault="00D561BC" w:rsidP="0016731F">
      <w:pPr>
        <w:pStyle w:val="ListParagraph"/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61BC" w:rsidRDefault="00D561BC" w:rsidP="0016731F">
      <w:pPr>
        <w:pStyle w:val="ListParagraph"/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731F" w:rsidRPr="0016731F" w:rsidRDefault="0016731F" w:rsidP="0016731F">
      <w:pPr>
        <w:pStyle w:val="ListParagraph"/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31F">
        <w:rPr>
          <w:rFonts w:ascii="Times New Roman" w:hAnsi="Times New Roman" w:cs="Times New Roman"/>
          <w:b/>
          <w:sz w:val="24"/>
          <w:szCs w:val="24"/>
        </w:rPr>
        <w:t>It is considered that extension of the plant with PT-30-3.4/0.8 turbine is a beneficial version.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31F">
        <w:rPr>
          <w:rFonts w:ascii="Times New Roman" w:hAnsi="Times New Roman" w:cs="Times New Roman"/>
          <w:b/>
          <w:sz w:val="24"/>
          <w:szCs w:val="24"/>
        </w:rPr>
        <w:t>Technical and Economical Specifications of Extension Project</w:t>
      </w:r>
    </w:p>
    <w:p w:rsidR="0016731F" w:rsidRDefault="0016731F" w:rsidP="0016731F">
      <w:pPr>
        <w:pStyle w:val="ListParagraph"/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731F" w:rsidRDefault="0016731F" w:rsidP="0016731F">
      <w:pPr>
        <w:pStyle w:val="ListParagraph"/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68"/>
        <w:gridCol w:w="2422"/>
        <w:gridCol w:w="652"/>
        <w:gridCol w:w="1771"/>
        <w:gridCol w:w="1771"/>
        <w:gridCol w:w="1772"/>
      </w:tblGrid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4845" w:type="dxa"/>
            <w:gridSpan w:val="3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and Economical Specifications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772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5" w:type="dxa"/>
            <w:gridSpan w:val="3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boilers  BKZ-3-75-39FB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</w:p>
        </w:tc>
        <w:tc>
          <w:tcPr>
            <w:tcW w:w="1772" w:type="dxa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  <w:gridSpan w:val="2"/>
            <w:vMerge w:val="restart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number of turbines 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PT-12-35/10M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1772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4" w:type="dxa"/>
            <w:gridSpan w:val="2"/>
            <w:vMerge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PT-30-3.4/0.8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1772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4" w:type="dxa"/>
            <w:gridSpan w:val="2"/>
            <w:vMerge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P-12-35/6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1772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5" w:type="dxa"/>
            <w:gridSpan w:val="3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Installed capacity 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772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5" w:type="dxa"/>
            <w:gridSpan w:val="3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capacity 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772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</w:tr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5" w:type="dxa"/>
            <w:gridSpan w:val="3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hours of installed electrical capacity  per year 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Hour </w:t>
            </w:r>
          </w:p>
        </w:tc>
        <w:tc>
          <w:tcPr>
            <w:tcW w:w="1772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4695.3</w:t>
            </w:r>
          </w:p>
        </w:tc>
      </w:tr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5" w:type="dxa"/>
            <w:gridSpan w:val="3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Electricity produced per year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Mil/kW</w:t>
            </w:r>
          </w:p>
        </w:tc>
        <w:tc>
          <w:tcPr>
            <w:tcW w:w="1772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309.89</w:t>
            </w:r>
          </w:p>
        </w:tc>
      </w:tr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5" w:type="dxa"/>
            <w:gridSpan w:val="3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Electricity distributed per year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Mil/kW</w:t>
            </w:r>
          </w:p>
        </w:tc>
        <w:tc>
          <w:tcPr>
            <w:tcW w:w="1772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248.64</w:t>
            </w:r>
          </w:p>
        </w:tc>
      </w:tr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  <w:vMerge w:val="restart"/>
            <w:vAlign w:val="center"/>
          </w:tcPr>
          <w:p w:rsidR="0016731F" w:rsidRPr="002F3F2C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3F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Electricity  </w:t>
            </w:r>
          </w:p>
        </w:tc>
        <w:tc>
          <w:tcPr>
            <w:tcW w:w="2423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 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Mil/kW</w:t>
            </w:r>
          </w:p>
        </w:tc>
        <w:tc>
          <w:tcPr>
            <w:tcW w:w="1772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2" w:type="dxa"/>
            <w:vMerge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  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2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19.76</w:t>
            </w:r>
          </w:p>
        </w:tc>
      </w:tr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2" w:type="dxa"/>
            <w:vMerge w:val="restart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Thermal energy production </w:t>
            </w:r>
          </w:p>
        </w:tc>
        <w:tc>
          <w:tcPr>
            <w:tcW w:w="2423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555.2</w:t>
            </w:r>
          </w:p>
        </w:tc>
      </w:tr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2" w:type="dxa"/>
            <w:vMerge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Vapor 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Gkal</w:t>
            </w:r>
            <w:proofErr w:type="spellEnd"/>
          </w:p>
        </w:tc>
        <w:tc>
          <w:tcPr>
            <w:tcW w:w="1772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</w:tr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2" w:type="dxa"/>
            <w:vMerge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Water 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Gkal</w:t>
            </w:r>
            <w:proofErr w:type="spellEnd"/>
          </w:p>
        </w:tc>
        <w:tc>
          <w:tcPr>
            <w:tcW w:w="1772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525.2</w:t>
            </w:r>
          </w:p>
        </w:tc>
      </w:tr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2" w:type="dxa"/>
            <w:vMerge w:val="restart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Planned Fuel own consumption</w:t>
            </w:r>
          </w:p>
        </w:tc>
        <w:tc>
          <w:tcPr>
            <w:tcW w:w="2423" w:type="dxa"/>
            <w:gridSpan w:val="2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electricity 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g/kWh</w:t>
            </w:r>
          </w:p>
        </w:tc>
        <w:tc>
          <w:tcPr>
            <w:tcW w:w="1772" w:type="dxa"/>
            <w:vAlign w:val="center"/>
          </w:tcPr>
          <w:p w:rsidR="0016731F" w:rsidRDefault="0016731F" w:rsidP="00183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641.85</w:t>
            </w:r>
          </w:p>
        </w:tc>
      </w:tr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2" w:type="dxa"/>
            <w:vMerge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heating 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Gkal</w:t>
            </w:r>
            <w:proofErr w:type="spellEnd"/>
          </w:p>
        </w:tc>
        <w:tc>
          <w:tcPr>
            <w:tcW w:w="1772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180.26</w:t>
            </w:r>
          </w:p>
        </w:tc>
      </w:tr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2" w:type="dxa"/>
            <w:vMerge w:val="restart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Coal consumption per year </w:t>
            </w:r>
          </w:p>
        </w:tc>
        <w:tc>
          <w:tcPr>
            <w:tcW w:w="2423" w:type="dxa"/>
            <w:gridSpan w:val="2"/>
            <w:vAlign w:val="center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planning 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Mil/Ton</w:t>
            </w:r>
          </w:p>
        </w:tc>
        <w:tc>
          <w:tcPr>
            <w:tcW w:w="1772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259.6</w:t>
            </w:r>
          </w:p>
        </w:tc>
      </w:tr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2" w:type="dxa"/>
            <w:vMerge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reality 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Mil/Ton</w:t>
            </w:r>
          </w:p>
        </w:tc>
        <w:tc>
          <w:tcPr>
            <w:tcW w:w="1772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494.8</w:t>
            </w:r>
          </w:p>
        </w:tc>
      </w:tr>
      <w:tr w:rsidR="0016731F" w:rsidTr="0018309B">
        <w:tc>
          <w:tcPr>
            <w:tcW w:w="468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5" w:type="dxa"/>
            <w:gridSpan w:val="3"/>
          </w:tcPr>
          <w:p w:rsidR="0016731F" w:rsidRDefault="0016731F" w:rsidP="00183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Coal heat capacity </w:t>
            </w:r>
          </w:p>
        </w:tc>
        <w:tc>
          <w:tcPr>
            <w:tcW w:w="1771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</w:p>
        </w:tc>
        <w:tc>
          <w:tcPr>
            <w:tcW w:w="1772" w:type="dxa"/>
            <w:vAlign w:val="center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3673.4</w:t>
            </w:r>
          </w:p>
        </w:tc>
      </w:tr>
    </w:tbl>
    <w:p w:rsidR="0016731F" w:rsidRPr="00062D75" w:rsidRDefault="0016731F" w:rsidP="0016731F">
      <w:pPr>
        <w:pStyle w:val="ListParagraph"/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731F" w:rsidRDefault="0016731F" w:rsidP="0016731F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accounting </w:t>
      </w:r>
    </w:p>
    <w:tbl>
      <w:tblPr>
        <w:tblStyle w:val="TableGrid"/>
        <w:tblW w:w="0" w:type="auto"/>
        <w:tblInd w:w="720" w:type="dxa"/>
        <w:tblLook w:val="04A0"/>
      </w:tblPr>
      <w:tblGrid>
        <w:gridCol w:w="468"/>
        <w:gridCol w:w="5436"/>
        <w:gridCol w:w="2952"/>
      </w:tblGrid>
      <w:tr w:rsidR="0016731F" w:rsidTr="0018309B">
        <w:tc>
          <w:tcPr>
            <w:tcW w:w="468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6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expenses</w:t>
            </w:r>
          </w:p>
        </w:tc>
        <w:tc>
          <w:tcPr>
            <w:tcW w:w="2952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28.181.3773.2 thous.tug </w:t>
            </w:r>
          </w:p>
        </w:tc>
      </w:tr>
      <w:tr w:rsidR="0016731F" w:rsidTr="0018309B">
        <w:tc>
          <w:tcPr>
            <w:tcW w:w="468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6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Thermal energy income </w:t>
            </w:r>
          </w:p>
        </w:tc>
        <w:tc>
          <w:tcPr>
            <w:tcW w:w="2952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3.543.907.6 thous.tug</w:t>
            </w:r>
          </w:p>
        </w:tc>
      </w:tr>
      <w:tr w:rsidR="0016731F" w:rsidTr="0018309B">
        <w:tc>
          <w:tcPr>
            <w:tcW w:w="468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6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Electricity income </w:t>
            </w:r>
          </w:p>
        </w:tc>
        <w:tc>
          <w:tcPr>
            <w:tcW w:w="2952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25.723.009.2 thous.tug </w:t>
            </w:r>
          </w:p>
        </w:tc>
      </w:tr>
      <w:tr w:rsidR="0016731F" w:rsidTr="0018309B">
        <w:tc>
          <w:tcPr>
            <w:tcW w:w="468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6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income </w:t>
            </w:r>
          </w:p>
        </w:tc>
        <w:tc>
          <w:tcPr>
            <w:tcW w:w="2952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29.266.916.9 thous.tug </w:t>
            </w:r>
          </w:p>
        </w:tc>
      </w:tr>
      <w:tr w:rsidR="0016731F" w:rsidTr="0018309B">
        <w:tc>
          <w:tcPr>
            <w:tcW w:w="468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6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Electricity Tariff </w:t>
            </w:r>
          </w:p>
        </w:tc>
        <w:tc>
          <w:tcPr>
            <w:tcW w:w="2952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103.5 ¥/kWh</w:t>
            </w:r>
          </w:p>
        </w:tc>
      </w:tr>
      <w:tr w:rsidR="0016731F" w:rsidTr="0018309B">
        <w:tc>
          <w:tcPr>
            <w:tcW w:w="468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6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Thermal energy average cost </w:t>
            </w:r>
          </w:p>
        </w:tc>
        <w:tc>
          <w:tcPr>
            <w:tcW w:w="2952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6.382,2 ¥/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Gkal</w:t>
            </w:r>
            <w:proofErr w:type="spellEnd"/>
          </w:p>
        </w:tc>
      </w:tr>
      <w:tr w:rsidR="0016731F" w:rsidTr="0018309B">
        <w:tc>
          <w:tcPr>
            <w:tcW w:w="468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6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 cost of electricity </w:t>
            </w:r>
          </w:p>
        </w:tc>
        <w:tc>
          <w:tcPr>
            <w:tcW w:w="2952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73.6 ¥/kWh</w:t>
            </w:r>
          </w:p>
        </w:tc>
      </w:tr>
      <w:tr w:rsidR="0016731F" w:rsidTr="0018309B">
        <w:tc>
          <w:tcPr>
            <w:tcW w:w="468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36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 cost of thermal energy </w:t>
            </w:r>
          </w:p>
        </w:tc>
        <w:tc>
          <w:tcPr>
            <w:tcW w:w="2952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17,803.6 ¥/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731F" w:rsidTr="0018309B">
        <w:tc>
          <w:tcPr>
            <w:tcW w:w="468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36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Investment </w:t>
            </w:r>
          </w:p>
        </w:tc>
        <w:tc>
          <w:tcPr>
            <w:tcW w:w="2952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28,386,800.0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/¥</w:t>
            </w:r>
          </w:p>
        </w:tc>
      </w:tr>
      <w:tr w:rsidR="0016731F" w:rsidTr="0018309B">
        <w:tc>
          <w:tcPr>
            <w:tcW w:w="468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36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pay back</w:t>
            </w:r>
          </w:p>
        </w:tc>
        <w:tc>
          <w:tcPr>
            <w:tcW w:w="2952" w:type="dxa"/>
          </w:tcPr>
          <w:p w:rsidR="0016731F" w:rsidRDefault="0016731F" w:rsidP="0018309B">
            <w:pPr>
              <w:pStyle w:val="ListParagraph"/>
              <w:tabs>
                <w:tab w:val="left" w:pos="11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12.95 year </w:t>
            </w:r>
          </w:p>
        </w:tc>
      </w:tr>
    </w:tbl>
    <w:p w:rsidR="0016731F" w:rsidRDefault="0016731F" w:rsidP="0016731F">
      <w:pPr>
        <w:pStyle w:val="ListParagraph"/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1462" w:rsidRDefault="00DC1462"/>
    <w:sectPr w:rsidR="00DC1462" w:rsidSect="0016731F">
      <w:headerReference w:type="default" r:id="rId5"/>
      <w:footerReference w:type="default" r:id="rId6"/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2B" w:rsidRPr="00B77FCB" w:rsidRDefault="00D561BC" w:rsidP="002B435E">
    <w:pPr>
      <w:pStyle w:val="Footer"/>
      <w:tabs>
        <w:tab w:val="clear" w:pos="9360"/>
        <w:tab w:val="right" w:pos="9072"/>
      </w:tabs>
      <w:jc w:val="right"/>
      <w:rPr>
        <w:i/>
        <w:sz w:val="20"/>
        <w:szCs w:val="20"/>
      </w:rPr>
    </w:pPr>
    <w:r w:rsidRPr="00B77FCB">
      <w:rPr>
        <w:i/>
        <w:sz w:val="20"/>
        <w:szCs w:val="20"/>
      </w:rPr>
      <w:t xml:space="preserve">Translated and Verified by the </w:t>
    </w:r>
    <w:proofErr w:type="spellStart"/>
    <w:r w:rsidRPr="00B77FCB">
      <w:rPr>
        <w:i/>
        <w:sz w:val="20"/>
        <w:szCs w:val="20"/>
      </w:rPr>
      <w:t>GoldeneBrucke</w:t>
    </w:r>
    <w:proofErr w:type="spellEnd"/>
    <w:r w:rsidRPr="00B77FCB">
      <w:rPr>
        <w:i/>
        <w:sz w:val="20"/>
        <w:szCs w:val="20"/>
      </w:rPr>
      <w:t xml:space="preserve"> Translation Bureau </w:t>
    </w:r>
  </w:p>
  <w:p w:rsidR="00105C2B" w:rsidRDefault="00D561BC" w:rsidP="002B435E">
    <w:pPr>
      <w:pStyle w:val="Footer"/>
      <w:jc w:val="right"/>
      <w:rPr>
        <w:i/>
        <w:sz w:val="20"/>
        <w:szCs w:val="20"/>
      </w:rPr>
    </w:pPr>
    <w:proofErr w:type="spellStart"/>
    <w:r w:rsidRPr="00B77FCB">
      <w:rPr>
        <w:i/>
        <w:sz w:val="20"/>
        <w:szCs w:val="20"/>
      </w:rPr>
      <w:t>GoldeneBrucke</w:t>
    </w:r>
    <w:proofErr w:type="spellEnd"/>
    <w:r w:rsidRPr="00B77FCB">
      <w:rPr>
        <w:i/>
        <w:sz w:val="20"/>
        <w:szCs w:val="20"/>
      </w:rPr>
      <w:t xml:space="preserve"> LLC, </w:t>
    </w:r>
    <w:proofErr w:type="spellStart"/>
    <w:r w:rsidRPr="00B77FCB">
      <w:rPr>
        <w:i/>
        <w:sz w:val="20"/>
        <w:szCs w:val="20"/>
      </w:rPr>
      <w:t>Orkhon</w:t>
    </w:r>
    <w:proofErr w:type="spellEnd"/>
    <w:r w:rsidRPr="00B77FCB">
      <w:rPr>
        <w:i/>
        <w:sz w:val="20"/>
        <w:szCs w:val="20"/>
      </w:rPr>
      <w:t xml:space="preserve">, Mongolia </w:t>
    </w:r>
  </w:p>
  <w:p w:rsidR="00105C2B" w:rsidRDefault="00D561BC" w:rsidP="002B435E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  <w:lang w:val="mn-MN"/>
      </w:rPr>
      <w:tab/>
    </w:r>
    <w:r>
      <w:rPr>
        <w:i/>
        <w:sz w:val="20"/>
        <w:szCs w:val="20"/>
      </w:rPr>
      <w:t>Phone/Fax: 976-70359301, 976-99260199</w:t>
    </w:r>
  </w:p>
  <w:p w:rsidR="00105C2B" w:rsidRPr="002B435E" w:rsidRDefault="00D561BC" w:rsidP="002B435E">
    <w:pPr>
      <w:tabs>
        <w:tab w:val="left" w:pos="3932"/>
      </w:tabs>
      <w:jc w:val="right"/>
      <w:rPr>
        <w:rFonts w:ascii="Times New Roman" w:hAnsi="Times New Roman" w:cs="Times New Roman"/>
        <w:sz w:val="24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E-mail: </w:t>
    </w:r>
    <w:r w:rsidRPr="00EF4D08">
      <w:rPr>
        <w:i/>
        <w:sz w:val="20"/>
        <w:szCs w:val="20"/>
      </w:rPr>
      <w:t>bayarbayasgalan@yahoo.com</w:t>
    </w:r>
    <w:r>
      <w:rPr>
        <w:i/>
        <w:sz w:val="20"/>
        <w:szCs w:val="20"/>
        <w:lang w:val="mn-MN"/>
      </w:rPr>
      <w:t xml:space="preserve">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2B" w:rsidRPr="002B435E" w:rsidRDefault="00D561BC" w:rsidP="002B435E">
    <w:pPr>
      <w:pStyle w:val="Header"/>
      <w:rPr>
        <w:i/>
        <w:sz w:val="20"/>
        <w:szCs w:val="20"/>
        <w:u w:val="single"/>
      </w:rPr>
    </w:pPr>
    <w:r>
      <w:rPr>
        <w:i/>
        <w:sz w:val="20"/>
        <w:szCs w:val="20"/>
        <w:u w:val="single"/>
      </w:rPr>
      <w:t xml:space="preserve">Translated from Mongolian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1F73"/>
    <w:multiLevelType w:val="hybridMultilevel"/>
    <w:tmpl w:val="6F2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6F47"/>
    <w:multiLevelType w:val="hybridMultilevel"/>
    <w:tmpl w:val="6AAC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D25EB"/>
    <w:multiLevelType w:val="hybridMultilevel"/>
    <w:tmpl w:val="B71669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D5E28E8"/>
    <w:multiLevelType w:val="hybridMultilevel"/>
    <w:tmpl w:val="2850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7637F"/>
    <w:multiLevelType w:val="hybridMultilevel"/>
    <w:tmpl w:val="AAD6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F536F"/>
    <w:multiLevelType w:val="hybridMultilevel"/>
    <w:tmpl w:val="03BED1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EEE174B"/>
    <w:multiLevelType w:val="hybridMultilevel"/>
    <w:tmpl w:val="9512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A7A33"/>
    <w:multiLevelType w:val="hybridMultilevel"/>
    <w:tmpl w:val="7FC06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31F"/>
    <w:rsid w:val="0016731F"/>
    <w:rsid w:val="00D561BC"/>
    <w:rsid w:val="00DC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1F"/>
    <w:pPr>
      <w:ind w:left="720"/>
      <w:contextualSpacing/>
    </w:pPr>
  </w:style>
  <w:style w:type="table" w:styleId="TableGrid">
    <w:name w:val="Table Grid"/>
    <w:basedOn w:val="TableNormal"/>
    <w:uiPriority w:val="59"/>
    <w:rsid w:val="00167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1F"/>
  </w:style>
  <w:style w:type="paragraph" w:styleId="Footer">
    <w:name w:val="footer"/>
    <w:basedOn w:val="Normal"/>
    <w:link w:val="FooterChar"/>
    <w:uiPriority w:val="99"/>
    <w:unhideWhenUsed/>
    <w:rsid w:val="0016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SURMAA</dc:creator>
  <cp:lastModifiedBy>SURMAA</cp:lastModifiedBy>
  <cp:revision>1</cp:revision>
  <dcterms:created xsi:type="dcterms:W3CDTF">2012-04-27T03:11:00Z</dcterms:created>
  <dcterms:modified xsi:type="dcterms:W3CDTF">2012-04-27T03:23:00Z</dcterms:modified>
</cp:coreProperties>
</file>