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0C" w:rsidRDefault="00274E0C" w:rsidP="00274E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Rectángulo 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5C5EB" id="Rectángulo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UnXgIAAK4EAAAOAAAAZHJzL2Uyb0RvYy54bWysVN1u0zAUvkfiHSzft0m6tGujpdPUrAhp&#10;wMTgAVzHSSwSH2O7TcfEw/AsvBjHTls6doMQvXB9fvy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AhWUnXgIAAK4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</w:p>
    <w:p w:rsidR="00274E0C" w:rsidRDefault="00274E0C" w:rsidP="00274E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Katalánsko</w:t>
      </w: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</w:rPr>
      </w:pP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rozloha: 32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>113 km</w:t>
      </w:r>
      <w:r w:rsidRPr="00AB1979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počet obyvatel</w:t>
      </w:r>
      <w:r w:rsidRPr="002A486C">
        <w:rPr>
          <w:rFonts w:ascii="Arial" w:eastAsia="Arial" w:hAnsi="Arial" w:cs="Arial"/>
          <w:color w:val="000000"/>
          <w:sz w:val="20"/>
          <w:szCs w:val="20"/>
        </w:rPr>
        <w:t>: 7,7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 mil.</w:t>
      </w: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průmysl – automobilový, potravinářský, textilní, papírenský, chemický, metalurgie</w:t>
      </w: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zemědělství – obiloviny, brambory, zelenina, chov dobytka, rybolov</w:t>
      </w: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významný turistický ruch </w:t>
      </w: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A486C">
        <w:rPr>
          <w:rFonts w:ascii="Arial" w:eastAsia="Arial" w:hAnsi="Arial" w:cs="Arial"/>
          <w:color w:val="000000"/>
          <w:sz w:val="20"/>
          <w:szCs w:val="20"/>
        </w:rPr>
        <w:t>19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 mil. zahraničních turistů za rok 201</w:t>
      </w:r>
      <w:r>
        <w:rPr>
          <w:rFonts w:ascii="Arial" w:eastAsia="Arial" w:hAnsi="Arial" w:cs="Arial"/>
          <w:color w:val="000000"/>
          <w:sz w:val="20"/>
          <w:szCs w:val="20"/>
        </w:rPr>
        <w:t>9</w:t>
      </w: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HDP 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>meziroční změna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D75ED">
        <w:rPr>
          <w:rFonts w:ascii="Arial" w:eastAsia="Arial" w:hAnsi="Arial" w:cs="Arial"/>
          <w:color w:val="000000"/>
          <w:sz w:val="20"/>
          <w:szCs w:val="20"/>
        </w:rPr>
        <w:t>+5,8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 %</w:t>
      </w: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HDP na obyvatele: 31 </w:t>
      </w:r>
      <w:r>
        <w:rPr>
          <w:rFonts w:ascii="Arial" w:eastAsia="Arial" w:hAnsi="Arial" w:cs="Arial"/>
          <w:color w:val="000000"/>
          <w:sz w:val="20"/>
          <w:szCs w:val="20"/>
        </w:rPr>
        <w:t>509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 eur (</w:t>
      </w:r>
      <w:r w:rsidRPr="00AD75ED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>21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>)</w:t>
      </w:r>
      <w:r w:rsidRPr="00AB1979">
        <w:rPr>
          <w:rFonts w:ascii="Arial" w:eastAsia="Arial" w:hAnsi="Arial" w:cs="Arial"/>
          <w:color w:val="000000"/>
          <w:sz w:val="20"/>
          <w:szCs w:val="20"/>
        </w:rPr>
        <w:br/>
      </w: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vývoz – Francie, Itálie, SRN, Portugalsko, UK, Švýcarsko, USA </w:t>
      </w: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motorová vozidla, chemické produkty, transportn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í zařízení, oděvy, metalurgické 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produkty  </w:t>
      </w: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-2" w:right="423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dovoz – SRN, Čína, Francie, Itálie, Nizozemsko, USA, UK, Belgie </w:t>
      </w: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motorová vozidla, chemické produkty, oděvy, paliva a maziva, elektronika</w:t>
      </w: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-2" w:right="423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nejvýznamnější zahraniční investice v Katalánsku – Nizozemsko, SRN, Lucembursko, UK, Francie </w:t>
      </w:r>
    </w:p>
    <w:p w:rsidR="00274E0C" w:rsidRPr="00AB1979" w:rsidRDefault="00274E0C" w:rsidP="00274E0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telekomunikace, dopravní infrastruktura, strojírenství, stavebnictví</w:t>
      </w: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right="423" w:hanging="2"/>
        <w:jc w:val="both"/>
        <w:rPr>
          <w:color w:val="000000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right="423" w:hanging="2"/>
        <w:jc w:val="both"/>
        <w:rPr>
          <w:color w:val="000000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87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359"/>
        <w:gridCol w:w="1360"/>
        <w:gridCol w:w="1360"/>
        <w:gridCol w:w="1360"/>
        <w:gridCol w:w="1360"/>
      </w:tblGrid>
      <w:tr w:rsidR="00274E0C" w:rsidTr="002D0C57">
        <w:trPr>
          <w:trHeight w:val="330"/>
          <w:jc w:val="center"/>
        </w:trPr>
        <w:tc>
          <w:tcPr>
            <w:tcW w:w="8731" w:type="dxa"/>
            <w:gridSpan w:val="6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274E0C" w:rsidTr="002D0C57">
        <w:trPr>
          <w:trHeight w:val="330"/>
          <w:jc w:val="center"/>
        </w:trPr>
        <w:tc>
          <w:tcPr>
            <w:tcW w:w="1932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9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0" w:type="dxa"/>
          </w:tcPr>
          <w:p w:rsidR="00274E0C" w:rsidRPr="006E5627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E562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0" w:type="dxa"/>
          </w:tcPr>
          <w:p w:rsidR="00274E0C" w:rsidRPr="006E5627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E562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274E0C" w:rsidTr="002D0C57">
        <w:trPr>
          <w:trHeight w:val="315"/>
          <w:jc w:val="center"/>
        </w:trPr>
        <w:tc>
          <w:tcPr>
            <w:tcW w:w="1932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9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69 647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71 </w:t>
            </w:r>
            <w:r w:rsidRPr="006F77D1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73 854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66 496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80 538</w:t>
            </w:r>
          </w:p>
        </w:tc>
      </w:tr>
      <w:tr w:rsidR="00274E0C" w:rsidTr="002D0C57">
        <w:trPr>
          <w:trHeight w:val="315"/>
          <w:jc w:val="center"/>
        </w:trPr>
        <w:tc>
          <w:tcPr>
            <w:tcW w:w="1932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9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84 606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90 </w:t>
            </w:r>
            <w:r w:rsidRPr="006F77D1">
              <w:rPr>
                <w:rFonts w:ascii="Arial" w:eastAsia="Arial" w:hAnsi="Arial" w:cs="Arial"/>
                <w:sz w:val="20"/>
                <w:szCs w:val="20"/>
              </w:rPr>
              <w:t>310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92 419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75 459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90 428</w:t>
            </w:r>
          </w:p>
        </w:tc>
      </w:tr>
      <w:tr w:rsidR="00274E0C" w:rsidTr="002D0C57">
        <w:trPr>
          <w:trHeight w:val="315"/>
          <w:jc w:val="center"/>
        </w:trPr>
        <w:tc>
          <w:tcPr>
            <w:tcW w:w="1932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154 253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161 510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166 273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141 955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170 966</w:t>
            </w:r>
          </w:p>
        </w:tc>
      </w:tr>
      <w:tr w:rsidR="00274E0C" w:rsidTr="002D0C57">
        <w:trPr>
          <w:trHeight w:val="330"/>
          <w:jc w:val="center"/>
        </w:trPr>
        <w:tc>
          <w:tcPr>
            <w:tcW w:w="1932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-15 041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-1</w:t>
            </w:r>
            <w:r w:rsidRPr="006F77D1">
              <w:rPr>
                <w:rFonts w:ascii="Arial" w:eastAsia="Arial" w:hAnsi="Arial" w:cs="Arial"/>
                <w:sz w:val="20"/>
                <w:szCs w:val="20"/>
              </w:rPr>
              <w:t>9 110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-18 566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-8 963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-9 890</w:t>
            </w:r>
          </w:p>
        </w:tc>
      </w:tr>
      <w:tr w:rsidR="00274E0C" w:rsidTr="002D0C57">
        <w:trPr>
          <w:trHeight w:val="330"/>
          <w:jc w:val="center"/>
        </w:trPr>
        <w:tc>
          <w:tcPr>
            <w:tcW w:w="8731" w:type="dxa"/>
            <w:gridSpan w:val="6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4E0C" w:rsidTr="002D0C57">
        <w:trPr>
          <w:trHeight w:val="330"/>
          <w:jc w:val="center"/>
        </w:trPr>
        <w:tc>
          <w:tcPr>
            <w:tcW w:w="1932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9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0" w:type="dxa"/>
          </w:tcPr>
          <w:p w:rsidR="00274E0C" w:rsidRPr="006E5627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0" w:type="dxa"/>
          </w:tcPr>
          <w:p w:rsidR="00274E0C" w:rsidRPr="006E5627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274E0C" w:rsidTr="002D0C57">
        <w:trPr>
          <w:trHeight w:val="330"/>
          <w:jc w:val="center"/>
        </w:trPr>
        <w:tc>
          <w:tcPr>
            <w:tcW w:w="1932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9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784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933,56</w:t>
            </w:r>
          </w:p>
        </w:tc>
      </w:tr>
      <w:tr w:rsidR="00274E0C" w:rsidTr="002D0C57">
        <w:trPr>
          <w:trHeight w:val="330"/>
          <w:jc w:val="center"/>
        </w:trPr>
        <w:tc>
          <w:tcPr>
            <w:tcW w:w="1932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9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1 357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1 601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1 317,90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1 489,53</w:t>
            </w:r>
          </w:p>
        </w:tc>
      </w:tr>
      <w:tr w:rsidR="00274E0C" w:rsidTr="002D0C57">
        <w:trPr>
          <w:trHeight w:val="330"/>
          <w:jc w:val="center"/>
        </w:trPr>
        <w:tc>
          <w:tcPr>
            <w:tcW w:w="1932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2 088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2 192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2 385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2 061,90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2 423,09</w:t>
            </w:r>
          </w:p>
        </w:tc>
      </w:tr>
      <w:tr w:rsidR="00274E0C" w:rsidTr="002D0C57">
        <w:trPr>
          <w:trHeight w:val="330"/>
          <w:jc w:val="center"/>
        </w:trPr>
        <w:tc>
          <w:tcPr>
            <w:tcW w:w="1932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-624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-743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-817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-573,89</w:t>
            </w:r>
          </w:p>
        </w:tc>
        <w:tc>
          <w:tcPr>
            <w:tcW w:w="1360" w:type="dxa"/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-555,96</w:t>
            </w:r>
          </w:p>
        </w:tc>
      </w:tr>
      <w:tr w:rsidR="00274E0C" w:rsidTr="002D0C57">
        <w:trPr>
          <w:trHeight w:val="330"/>
          <w:jc w:val="center"/>
        </w:trPr>
        <w:tc>
          <w:tcPr>
            <w:tcW w:w="8731" w:type="dxa"/>
            <w:gridSpan w:val="6"/>
          </w:tcPr>
          <w:p w:rsidR="00274E0C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Zdroj: ICEX Estacom </w:t>
            </w:r>
          </w:p>
        </w:tc>
      </w:tr>
    </w:tbl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274E0C" w:rsidRDefault="005C14C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75pt;margin-top:9.2pt;width:455.55pt;height:333.05pt;z-index:251660288" stroked="t" strokecolor="#f93" strokeweight="2.25pt">
            <v:imagedata r:id="rId5" o:title=""/>
            <o:lock v:ext="edit" aspectratio="f"/>
            <w10:wrap type="topAndBottom"/>
          </v:shape>
          <o:OLEObject Type="Embed" ProgID="MSGraph.Chart.8" ShapeID="_x0000_s1027" DrawAspect="Content" ObjectID="_1723289821" r:id="rId6">
            <o:FieldCodes>\s</o:FieldCodes>
          </o:OLEObject>
        </w:object>
      </w: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908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50"/>
        <w:gridCol w:w="1416"/>
        <w:gridCol w:w="1416"/>
      </w:tblGrid>
      <w:tr w:rsidR="00274E0C" w:rsidTr="002D0C57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dovozu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 </w:t>
            </w: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ČR z Katalánska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</w:t>
            </w:r>
            <w:r>
              <w:rPr>
                <w:rFonts w:ascii="Arial" w:eastAsia="Arial" w:hAnsi="Arial" w:cs="Arial"/>
                <w:sz w:val="20"/>
                <w:szCs w:val="20"/>
              </w:rPr>
              <w:t>ové komponenty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64,83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6,94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Vepřové maso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63,78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6,83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Osobní automobily (objem válce menší než 1000 cm</w:t>
            </w:r>
            <w:r w:rsidRPr="0071776C">
              <w:rPr>
                <w:rFonts w:ascii="Arial" w:eastAsia="Arial" w:hAnsi="Arial" w:cs="Arial"/>
                <w:sz w:val="16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55,44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5,94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Zástrčky a zásuvky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4,48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Jiné automobilové komponenty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33,29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3,57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Osobní automobily (objem válce mezi 1000 a 1500 cm</w:t>
            </w:r>
            <w:r w:rsidRPr="0071776C">
              <w:rPr>
                <w:rFonts w:ascii="Arial" w:eastAsia="Arial" w:hAnsi="Arial" w:cs="Arial"/>
                <w:sz w:val="16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31,54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3,38</w:t>
            </w:r>
          </w:p>
        </w:tc>
      </w:tr>
      <w:tr w:rsidR="00274E0C" w:rsidTr="002D0C57">
        <w:trPr>
          <w:trHeight w:val="33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4E0C" w:rsidTr="002D0C57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FA45C0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A45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vývozu z ČR do Katalánska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245,81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Automobily jiné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139,21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9,34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Elektrické akumulátory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123,30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8,28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Automobily jiné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79,36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5,33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Převodovky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74,36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4,99</w:t>
            </w:r>
          </w:p>
        </w:tc>
      </w:tr>
      <w:tr w:rsidR="00274E0C" w:rsidTr="002D0C57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Bezpečnostní pásy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61,47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0C" w:rsidRPr="006F77D1" w:rsidRDefault="00274E0C" w:rsidP="002D0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4,13</w:t>
            </w:r>
          </w:p>
        </w:tc>
      </w:tr>
    </w:tbl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Zdroj: ICEX Estacom</w:t>
      </w: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29C7DB" wp14:editId="36E4EF0E">
            <wp:simplePos x="0" y="0"/>
            <wp:positionH relativeFrom="margin">
              <wp:posOffset>18415</wp:posOffset>
            </wp:positionH>
            <wp:positionV relativeFrom="paragraph">
              <wp:posOffset>0</wp:posOffset>
            </wp:positionV>
            <wp:extent cx="5737860" cy="4173220"/>
            <wp:effectExtent l="0" t="0" r="15240" b="17780"/>
            <wp:wrapTopAndBottom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noProof/>
        </w:rPr>
      </w:pPr>
    </w:p>
    <w:p w:rsidR="00274E0C" w:rsidRDefault="00274E0C" w:rsidP="00274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B3C567" wp14:editId="16A8C7AD">
            <wp:simplePos x="0" y="0"/>
            <wp:positionH relativeFrom="margin">
              <wp:posOffset>55245</wp:posOffset>
            </wp:positionH>
            <wp:positionV relativeFrom="paragraph">
              <wp:posOffset>242570</wp:posOffset>
            </wp:positionV>
            <wp:extent cx="5737860" cy="4050665"/>
            <wp:effectExtent l="0" t="0" r="15240" b="6985"/>
            <wp:wrapTopAndBottom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E0C" w:rsidRPr="00984167" w:rsidRDefault="00274E0C" w:rsidP="00274E0C">
      <w:pPr>
        <w:ind w:left="0" w:hanging="2"/>
        <w:jc w:val="center"/>
        <w:rPr>
          <w:rFonts w:ascii="Arial" w:hAnsi="Arial" w:cs="Arial"/>
          <w:b/>
        </w:rPr>
      </w:pPr>
      <w:r w:rsidRPr="00984167">
        <w:rPr>
          <w:rFonts w:ascii="Arial" w:hAnsi="Arial" w:cs="Arial"/>
          <w:b/>
        </w:rPr>
        <w:lastRenderedPageBreak/>
        <w:t>Podíl autonomních oblastí na zahraničním obchodu</w:t>
      </w:r>
      <w:r>
        <w:rPr>
          <w:rFonts w:ascii="Arial" w:hAnsi="Arial" w:cs="Arial"/>
          <w:b/>
        </w:rPr>
        <w:t xml:space="preserve"> </w:t>
      </w:r>
      <w:r w:rsidRPr="00984167">
        <w:rPr>
          <w:rFonts w:ascii="Arial" w:hAnsi="Arial" w:cs="Arial"/>
          <w:b/>
        </w:rPr>
        <w:t>Španělska s ČR</w:t>
      </w:r>
    </w:p>
    <w:p w:rsidR="00274E0C" w:rsidRDefault="00274E0C" w:rsidP="00274E0C">
      <w:pPr>
        <w:ind w:left="0" w:hanging="2"/>
        <w:jc w:val="center"/>
      </w:pPr>
      <w:r w:rsidRPr="00B74A30">
        <w:rPr>
          <w:rFonts w:ascii="Arial" w:hAnsi="Arial" w:cs="Arial"/>
          <w:b/>
          <w:sz w:val="20"/>
          <w:szCs w:val="20"/>
        </w:rPr>
        <w:t>(obrat)</w:t>
      </w:r>
    </w:p>
    <w:p w:rsidR="00274E0C" w:rsidRDefault="00274E0C" w:rsidP="00274E0C">
      <w:pPr>
        <w:ind w:left="0" w:hanging="2"/>
      </w:pPr>
    </w:p>
    <w:p w:rsidR="00274E0C" w:rsidRDefault="00274E0C" w:rsidP="00274E0C">
      <w:pPr>
        <w:ind w:left="0" w:hanging="2"/>
      </w:pPr>
    </w:p>
    <w:p w:rsidR="00274E0C" w:rsidRDefault="00274E0C" w:rsidP="00274E0C">
      <w:pPr>
        <w:ind w:left="0" w:hanging="2"/>
      </w:pPr>
    </w:p>
    <w:p w:rsidR="00274E0C" w:rsidRDefault="00274E0C" w:rsidP="00274E0C">
      <w:pPr>
        <w:ind w:left="0" w:hanging="2"/>
      </w:pPr>
    </w:p>
    <w:p w:rsidR="00274E0C" w:rsidRDefault="00274E0C" w:rsidP="00274E0C">
      <w:pPr>
        <w:ind w:left="0" w:hanging="2"/>
      </w:pPr>
      <w:r w:rsidRPr="008B6A4A">
        <w:rPr>
          <w:noProof/>
        </w:rPr>
        <w:drawing>
          <wp:inline distT="0" distB="0" distL="0" distR="0" wp14:anchorId="640107B8" wp14:editId="16920FD0">
            <wp:extent cx="6315075" cy="7553325"/>
            <wp:effectExtent l="0" t="0" r="9525" b="9525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4255" w:rsidRDefault="001F4255" w:rsidP="00274E0C">
      <w:pPr>
        <w:ind w:leftChars="0" w:left="0" w:firstLineChars="0" w:firstLine="0"/>
      </w:pPr>
    </w:p>
    <w:sectPr w:rsidR="001F4255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60AEA"/>
    <w:multiLevelType w:val="hybridMultilevel"/>
    <w:tmpl w:val="DD1E790E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0C"/>
    <w:rsid w:val="001F4255"/>
    <w:rsid w:val="00274E0C"/>
    <w:rsid w:val="005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6821CD1-61BE-4C06-A1BA-AAED360D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74E0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274E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Dovoz ČR z Katalánska</a:t>
            </a:r>
          </a:p>
        </c:rich>
      </c:tx>
      <c:layout>
        <c:manualLayout>
          <c:xMode val="edge"/>
          <c:yMode val="edge"/>
          <c:x val="0.37099494097807756"/>
          <c:y val="1.39860139860139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3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102866779089376"/>
          <c:y val="0.26573426573426573"/>
          <c:w val="0.41315345699831368"/>
          <c:h val="0.356643356643356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F9B-4EB8-8BB5-E5E5097EB9E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F9B-4EB8-8BB5-E5E5097EB9E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F9B-4EB8-8BB5-E5E5097EB9E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F9B-4EB8-8BB5-E5E5097EB9E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F9B-4EB8-8BB5-E5E5097EB9E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F9B-4EB8-8BB5-E5E5097EB9E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F9B-4EB8-8BB5-E5E5097EB9E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F9B-4EB8-8BB5-E5E5097EB9E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7F9B-4EB8-8BB5-E5E5097EB9E5}"/>
              </c:ext>
            </c:extLst>
          </c:dPt>
          <c:dLbls>
            <c:dLbl>
              <c:idx val="0"/>
              <c:layout>
                <c:manualLayout>
                  <c:x val="-2.4840445741095112E-2"/>
                  <c:y val="-5.033139877600511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F9B-4EB8-8BB5-E5E5097EB9E5}"/>
                </c:ext>
              </c:extLst>
            </c:dLbl>
            <c:dLbl>
              <c:idx val="1"/>
              <c:layout>
                <c:manualLayout>
                  <c:x val="3.0706918607285482E-2"/>
                  <c:y val="-5.005822841834362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F9B-4EB8-8BB5-E5E5097EB9E5}"/>
                </c:ext>
              </c:extLst>
            </c:dLbl>
            <c:dLbl>
              <c:idx val="2"/>
              <c:layout>
                <c:manualLayout>
                  <c:x val="6.1897815561899383E-2"/>
                  <c:y val="-1.75233991977417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F9B-4EB8-8BB5-E5E5097EB9E5}"/>
                </c:ext>
              </c:extLst>
            </c:dLbl>
            <c:dLbl>
              <c:idx val="3"/>
              <c:layout>
                <c:manualLayout>
                  <c:x val="8.7367241445416771E-2"/>
                  <c:y val="3.48627678387432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Zástrčky a zásuvky 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F9B-4EB8-8BB5-E5E5097EB9E5}"/>
                </c:ext>
              </c:extLst>
            </c:dLbl>
            <c:dLbl>
              <c:idx val="4"/>
              <c:layout>
                <c:manualLayout>
                  <c:x val="6.4791054504641107E-2"/>
                  <c:y val="4.93697911924126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Jiné automobilové komponenty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F9B-4EB8-8BB5-E5E5097EB9E5}"/>
                </c:ext>
              </c:extLst>
            </c:dLbl>
            <c:dLbl>
              <c:idx val="5"/>
              <c:layout>
                <c:manualLayout>
                  <c:x val="6.6883297954289572E-2"/>
                  <c:y val="0.14273582509429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Osobní automobily (motor &lt; 1500cm3)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F9B-4EB8-8BB5-E5E5097EB9E5}"/>
                </c:ext>
              </c:extLst>
            </c:dLbl>
            <c:dLbl>
              <c:idx val="6"/>
              <c:layout>
                <c:manualLayout>
                  <c:x val="-7.591872231110551E-2"/>
                  <c:y val="-7.524836936466325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F9B-4EB8-8BB5-E5E5097EB9E5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F9B-4EB8-8BB5-E5E5097EB9E5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23608768971332209"/>
                  <c:y val="0.2214452214452214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F9B-4EB8-8BB5-E5E5097EB9E5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21416526138279932"/>
                  <c:y val="0.1794871794871794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F9B-4EB8-8BB5-E5E5097EB9E5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26475548060708265"/>
                  <c:y val="0.104895104895104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F9B-4EB8-8BB5-E5E5097EB9E5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Automobily komponenty</c:v>
                </c:pt>
                <c:pt idx="1">
                  <c:v>Vepřové maso</c:v>
                </c:pt>
                <c:pt idx="2">
                  <c:v>Osobní automobily (motor &lt; 1000cm3)</c:v>
                </c:pt>
                <c:pt idx="3">
                  <c:v>Zástrčky a zásuvky</c:v>
                </c:pt>
                <c:pt idx="4">
                  <c:v>Jiné automobilové komponenty</c:v>
                </c:pt>
                <c:pt idx="5">
                  <c:v>Osobní automobily (motor &lt; 1500cm3)</c:v>
                </c:pt>
                <c:pt idx="6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7F9B-4EB8-8BB5-E5E5097EB9E5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C-7F9B-4EB8-8BB5-E5E5097EB9E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7F9B-4EB8-8BB5-E5E5097EB9E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7F9B-4EB8-8BB5-E5E5097EB9E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7F9B-4EB8-8BB5-E5E5097EB9E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7F9B-4EB8-8BB5-E5E5097EB9E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5-7F9B-4EB8-8BB5-E5E5097EB9E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7F9B-4EB8-8BB5-E5E5097EB9E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7F9B-4EB8-8BB5-E5E5097EB9E5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Automobily komponenty</c:v>
                </c:pt>
                <c:pt idx="1">
                  <c:v>Vepřové maso</c:v>
                </c:pt>
                <c:pt idx="2">
                  <c:v>Osobní automobily (motor &lt; 1000cm3)</c:v>
                </c:pt>
                <c:pt idx="3">
                  <c:v>Zástrčky a zásuvky</c:v>
                </c:pt>
                <c:pt idx="4">
                  <c:v>Jiné automobilové komponenty</c:v>
                </c:pt>
                <c:pt idx="5">
                  <c:v>Osobní automobily (motor &lt; 1500cm3)</c:v>
                </c:pt>
                <c:pt idx="6">
                  <c:v>Další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2A-7F9B-4EB8-8BB5-E5E5097EB9E5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Vývoz ČR do Katalánska</a:t>
            </a:r>
          </a:p>
        </c:rich>
      </c:tx>
      <c:layout>
        <c:manualLayout>
          <c:xMode val="edge"/>
          <c:yMode val="edge"/>
          <c:x val="0.36424957841483979"/>
          <c:y val="1.20481927710843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3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26721112052229"/>
          <c:y val="0.29568749822559998"/>
          <c:w val="0.45510225066488197"/>
          <c:h val="0.405339863948265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F6E-4676-9503-CC156C8396A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F6E-4676-9503-CC156C8396A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F6E-4676-9503-CC156C8396A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F6E-4676-9503-CC156C8396A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AF6E-4676-9503-CC156C8396A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AF6E-4676-9503-CC156C8396A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AF6E-4676-9503-CC156C8396AC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AF6E-4676-9503-CC156C8396AC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AF6E-4676-9503-CC156C8396AC}"/>
              </c:ext>
            </c:extLst>
          </c:dPt>
          <c:dLbls>
            <c:dLbl>
              <c:idx val="0"/>
              <c:layout>
                <c:manualLayout>
                  <c:x val="3.7792835656499033E-2"/>
                  <c:y val="-8.3942266269859428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F6E-4676-9503-CC156C8396AC}"/>
                </c:ext>
              </c:extLst>
            </c:dLbl>
            <c:dLbl>
              <c:idx val="1"/>
              <c:layout>
                <c:manualLayout>
                  <c:x val="5.1451063636965701E-2"/>
                  <c:y val="-4.892184369726951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F6E-4676-9503-CC156C8396AC}"/>
                </c:ext>
              </c:extLst>
            </c:dLbl>
            <c:dLbl>
              <c:idx val="2"/>
              <c:layout>
                <c:manualLayout>
                  <c:x val="4.1531860310289902E-2"/>
                  <c:y val="-6.326393320602918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Elektrické</a:t>
                    </a:r>
                    <a:r>
                      <a:rPr lang="en-US" baseline="0"/>
                      <a:t> akumulátory</a:t>
                    </a:r>
                    <a:r>
                      <a:rPr lang="en-US"/>
                      <a:t>
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F6E-4676-9503-CC156C8396AC}"/>
                </c:ext>
              </c:extLst>
            </c:dLbl>
            <c:dLbl>
              <c:idx val="3"/>
              <c:layout>
                <c:manualLayout>
                  <c:x val="5.1957872795781006E-2"/>
                  <c:y val="-6.060733237628883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Automobily</a:t>
                    </a:r>
                    <a:r>
                      <a:rPr lang="en-US" baseline="0"/>
                      <a:t> jiné</a:t>
                    </a:r>
                    <a:r>
                      <a:rPr lang="en-US"/>
                      <a:t>
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F6E-4676-9503-CC156C8396AC}"/>
                </c:ext>
              </c:extLst>
            </c:dLbl>
            <c:dLbl>
              <c:idx val="4"/>
              <c:layout>
                <c:manualLayout>
                  <c:x val="3.7496906512183986E-2"/>
                  <c:y val="6.338095102902845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F6E-4676-9503-CC156C8396AC}"/>
                </c:ext>
              </c:extLst>
            </c:dLbl>
            <c:dLbl>
              <c:idx val="5"/>
              <c:layout>
                <c:manualLayout>
                  <c:x val="-8.0148870833376906E-2"/>
                  <c:y val="0.1033622874268792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Bezpečnostní pásy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F6E-4676-9503-CC156C8396AC}"/>
                </c:ext>
              </c:extLst>
            </c:dLbl>
            <c:dLbl>
              <c:idx val="6"/>
              <c:layout>
                <c:manualLayout>
                  <c:x val="-5.3805425716207826E-2"/>
                  <c:y val="-0.1052827128385092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Další
53%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AF6E-4676-9503-CC156C8396A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F6E-4676-9503-CC156C8396AC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63069139966273191"/>
                  <c:y val="0.1759036144578313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F6E-4676-9503-CC156C8396AC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21416526138279932"/>
                  <c:y val="0.185542168674698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F6E-4676-9503-CC156C8396AC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26475548060708265"/>
                  <c:y val="0.1084337349397590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F6E-4676-9503-CC156C8396A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Automobily</c:v>
                </c:pt>
                <c:pt idx="1">
                  <c:v>Automobily jiné 1</c:v>
                </c:pt>
                <c:pt idx="2">
                  <c:v>Elektrické akumulátory</c:v>
                </c:pt>
                <c:pt idx="3">
                  <c:v>Automobily jiné 2</c:v>
                </c:pt>
                <c:pt idx="4">
                  <c:v>Převodovky</c:v>
                </c:pt>
                <c:pt idx="5">
                  <c:v>Bezpečnostní pásy</c:v>
                </c:pt>
                <c:pt idx="6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16</c:v>
                </c:pt>
                <c:pt idx="1">
                  <c:v>9</c:v>
                </c:pt>
                <c:pt idx="2">
                  <c:v>8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AF6E-4676-9503-CC156C8396AC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C-AF6E-4676-9503-CC156C8396A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AF6E-4676-9503-CC156C8396A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AF6E-4676-9503-CC156C8396A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AF6E-4676-9503-CC156C8396A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AF6E-4676-9503-CC156C8396A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5-AF6E-4676-9503-CC156C8396A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AF6E-4676-9503-CC156C8396AC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AF6E-4676-9503-CC156C8396AC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Automobily</c:v>
                </c:pt>
                <c:pt idx="1">
                  <c:v>Automobily jiné 1</c:v>
                </c:pt>
                <c:pt idx="2">
                  <c:v>Elektrické akumulátory</c:v>
                </c:pt>
                <c:pt idx="3">
                  <c:v>Automobily jiné 2</c:v>
                </c:pt>
                <c:pt idx="4">
                  <c:v>Převodovky</c:v>
                </c:pt>
                <c:pt idx="5">
                  <c:v>Bezpečnostní pásy</c:v>
                </c:pt>
                <c:pt idx="6">
                  <c:v>Další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2A-AF6E-4676-9503-CC156C8396AC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47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89-474E-9AFC-0DC4CCCB785C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47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89-474E-9AFC-0DC4CCCB785C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47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89-474E-9AFC-0DC4CCCB785C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47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89-474E-9AFC-0DC4CCCB785C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47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89-474E-9AFC-0DC4CCCB785C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47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89-474E-9AFC-0DC4CCCB785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47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89-474E-9AFC-0DC4CCCB785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47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89-474E-9AFC-0DC4CCCB785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47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89-474E-9AFC-0DC4CCCB785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47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D89-474E-9AFC-0DC4CCCB785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47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9D89-474E-9AFC-0DC4CCCB785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  <a:alpha val="90000"/>
                </a:schemeClr>
              </a:solidFill>
              <a:ln w="19047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9D89-474E-9AFC-0DC4CCCB785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9D89-474E-9AFC-0DC4CCCB785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9D89-474E-9AFC-0DC4CCCB785C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9D89-474E-9AFC-0DC4CCCB785C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9D89-474E-9AFC-0DC4CCCB785C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9D89-474E-9AFC-0DC4CCCB785C}"/>
              </c:ext>
            </c:extLst>
          </c:dPt>
          <c:dLbls>
            <c:dLbl>
              <c:idx val="0"/>
              <c:layout>
                <c:manualLayout>
                  <c:x val="-0.23654899596880527"/>
                  <c:y val="8.873657838224767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D89-474E-9AFC-0DC4CCCB785C}"/>
                </c:ext>
              </c:extLst>
            </c:dLbl>
            <c:dLbl>
              <c:idx val="1"/>
              <c:layout>
                <c:manualLayout>
                  <c:x val="-0.16287499947674014"/>
                  <c:y val="-0.2090201224846895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D89-474E-9AFC-0DC4CCCB785C}"/>
                </c:ext>
              </c:extLst>
            </c:dLbl>
            <c:dLbl>
              <c:idx val="2"/>
              <c:layout>
                <c:manualLayout>
                  <c:x val="8.5690891509374728E-2"/>
                  <c:y val="-0.147542220101275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D89-474E-9AFC-0DC4CCCB785C}"/>
                </c:ext>
              </c:extLst>
            </c:dLbl>
            <c:dLbl>
              <c:idx val="3"/>
              <c:layout>
                <c:manualLayout>
                  <c:x val="0.14421565129132272"/>
                  <c:y val="-0.143595402847371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D89-474E-9AFC-0DC4CCCB785C}"/>
                </c:ext>
              </c:extLst>
            </c:dLbl>
            <c:dLbl>
              <c:idx val="4"/>
              <c:layout>
                <c:manualLayout>
                  <c:x val="6.4451158106747231E-2"/>
                  <c:y val="-9.212081444364915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D89-474E-9AFC-0DC4CCCB785C}"/>
                </c:ext>
              </c:extLst>
            </c:dLbl>
            <c:dLbl>
              <c:idx val="5"/>
              <c:layout>
                <c:manualLayout>
                  <c:x val="0.18731117824773413"/>
                  <c:y val="-4.825048384103502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D89-474E-9AFC-0DC4CCCB785C}"/>
                </c:ext>
              </c:extLst>
            </c:dLbl>
            <c:dLbl>
              <c:idx val="6"/>
              <c:layout>
                <c:manualLayout>
                  <c:x val="0.10274250461894679"/>
                  <c:y val="2.63442827222354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D89-474E-9AFC-0DC4CCCB785C}"/>
                </c:ext>
              </c:extLst>
            </c:dLbl>
            <c:dLbl>
              <c:idx val="7"/>
              <c:layout>
                <c:manualLayout>
                  <c:x val="4.8121892618407595E-2"/>
                  <c:y val="1.871351308359179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D89-474E-9AFC-0DC4CCCB785C}"/>
                </c:ext>
              </c:extLst>
            </c:dLbl>
            <c:dLbl>
              <c:idx val="8"/>
              <c:layout>
                <c:manualLayout>
                  <c:x val="-3.0505189872413983E-2"/>
                  <c:y val="9.762984172432992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9D89-474E-9AFC-0DC4CCCB785C}"/>
                </c:ext>
              </c:extLst>
            </c:dLbl>
            <c:dLbl>
              <c:idx val="9"/>
              <c:layout>
                <c:manualLayout>
                  <c:x val="7.9231312098072326E-2"/>
                  <c:y val="6.57844852726742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9D89-474E-9AFC-0DC4CCCB785C}"/>
                </c:ext>
              </c:extLst>
            </c:dLbl>
            <c:dLbl>
              <c:idx val="10"/>
              <c:layout>
                <c:manualLayout>
                  <c:x val="-1.8570624291298934E-2"/>
                  <c:y val="-1.892017285718073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9D89-474E-9AFC-0DC4CCCB785C}"/>
                </c:ext>
              </c:extLst>
            </c:dLbl>
            <c:dLbl>
              <c:idx val="11"/>
              <c:layout>
                <c:manualLayout>
                  <c:x val="-0.29485913203447756"/>
                  <c:y val="-0.1025728412736286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9D89-474E-9AFC-0DC4CCCB785C}"/>
                </c:ext>
              </c:extLst>
            </c:dLbl>
            <c:dLbl>
              <c:idx val="12"/>
              <c:layout>
                <c:manualLayout>
                  <c:x val="-0.10098849426299057"/>
                  <c:y val="-0.1059398446406320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9D89-474E-9AFC-0DC4CCCB785C}"/>
                </c:ext>
              </c:extLst>
            </c:dLbl>
            <c:dLbl>
              <c:idx val="13"/>
              <c:layout>
                <c:manualLayout>
                  <c:x val="0.12800707203266259"/>
                  <c:y val="-9.804369150825843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La Rioja
0,3%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9D89-474E-9AFC-0DC4CCCB785C}"/>
                </c:ext>
              </c:extLst>
            </c:dLbl>
            <c:dLbl>
              <c:idx val="14"/>
              <c:layout>
                <c:manualLayout>
                  <c:x val="0.2066996534798709"/>
                  <c:y val="-3.972242106100375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Asturie
0.35%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9D89-474E-9AFC-0DC4CCCB785C}"/>
                </c:ext>
              </c:extLst>
            </c:dLbl>
            <c:dLbl>
              <c:idx val="15"/>
              <c:layout>
                <c:manualLayout>
                  <c:x val="0.30472107904940871"/>
                  <c:y val="2.160515920358440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Bal. ostrovy
0,21%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9D89-474E-9AFC-0DC4CCCB785C}"/>
                </c:ext>
              </c:extLst>
            </c:dLbl>
            <c:dLbl>
              <c:idx val="16"/>
              <c:layout>
                <c:manualLayout>
                  <c:x val="0.41041463472655026"/>
                  <c:y val="8.62997428351758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Extremadura
0,11%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9D89-474E-9AFC-0DC4CCCB785C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698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4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Hoja1!$A$2:$A$18</c:f>
              <c:strCache>
                <c:ptCount val="17"/>
                <c:pt idx="0">
                  <c:v>Katalánsko</c:v>
                </c:pt>
                <c:pt idx="1">
                  <c:v>Madrid</c:v>
                </c:pt>
                <c:pt idx="2">
                  <c:v>Valencie</c:v>
                </c:pt>
                <c:pt idx="3">
                  <c:v>Baskicko</c:v>
                </c:pt>
                <c:pt idx="4">
                  <c:v>Kastilie a León</c:v>
                </c:pt>
                <c:pt idx="5">
                  <c:v>Navarra</c:v>
                </c:pt>
                <c:pt idx="6">
                  <c:v>Aragon</c:v>
                </c:pt>
                <c:pt idx="7">
                  <c:v>Galicie</c:v>
                </c:pt>
                <c:pt idx="8">
                  <c:v>Kastilie-La Mancha</c:v>
                </c:pt>
                <c:pt idx="9">
                  <c:v>Andalusie</c:v>
                </c:pt>
                <c:pt idx="10">
                  <c:v>Murcie</c:v>
                </c:pt>
                <c:pt idx="11">
                  <c:v>Kan. ostrovy</c:v>
                </c:pt>
                <c:pt idx="12">
                  <c:v>Kantábrie</c:v>
                </c:pt>
                <c:pt idx="13">
                  <c:v>La Rioja</c:v>
                </c:pt>
                <c:pt idx="14">
                  <c:v>Asturie</c:v>
                </c:pt>
                <c:pt idx="15">
                  <c:v>Bal. ostrovy</c:v>
                </c:pt>
                <c:pt idx="16">
                  <c:v>Extremadura</c:v>
                </c:pt>
              </c:strCache>
            </c:strRef>
          </c:cat>
          <c:val>
            <c:numRef>
              <c:f>Hoja1!$B$2:$B$18</c:f>
              <c:numCache>
                <c:formatCode>#,##0</c:formatCode>
                <c:ptCount val="17"/>
                <c:pt idx="0" formatCode="General">
                  <c:v>2423</c:v>
                </c:pt>
                <c:pt idx="1">
                  <c:v>1186</c:v>
                </c:pt>
                <c:pt idx="2" formatCode="General">
                  <c:v>589</c:v>
                </c:pt>
                <c:pt idx="3" formatCode="General">
                  <c:v>519</c:v>
                </c:pt>
                <c:pt idx="4" formatCode="General">
                  <c:v>322</c:v>
                </c:pt>
                <c:pt idx="5" formatCode="General">
                  <c:v>640</c:v>
                </c:pt>
                <c:pt idx="6" formatCode="General">
                  <c:v>316</c:v>
                </c:pt>
                <c:pt idx="7" formatCode="General">
                  <c:v>245</c:v>
                </c:pt>
                <c:pt idx="8" formatCode="General">
                  <c:v>199</c:v>
                </c:pt>
                <c:pt idx="9" formatCode="General">
                  <c:v>374</c:v>
                </c:pt>
                <c:pt idx="10" formatCode="General">
                  <c:v>119</c:v>
                </c:pt>
                <c:pt idx="11" formatCode="General">
                  <c:v>101</c:v>
                </c:pt>
                <c:pt idx="12" formatCode="General">
                  <c:v>32</c:v>
                </c:pt>
                <c:pt idx="13" formatCode="General">
                  <c:v>19</c:v>
                </c:pt>
                <c:pt idx="14" formatCode="General">
                  <c:v>25</c:v>
                </c:pt>
                <c:pt idx="15" formatCode="General">
                  <c:v>15</c:v>
                </c:pt>
                <c:pt idx="16" formatCode="General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9D89-474E-9AFC-0DC4CCCB7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IGLESIAS-GARROTE Begoňa</dc:creator>
  <cp:keywords/>
  <dc:description/>
  <cp:lastModifiedBy>Brožek Jan</cp:lastModifiedBy>
  <cp:revision>2</cp:revision>
  <dcterms:created xsi:type="dcterms:W3CDTF">2022-08-29T12:51:00Z</dcterms:created>
  <dcterms:modified xsi:type="dcterms:W3CDTF">2022-08-29T12:51:00Z</dcterms:modified>
</cp:coreProperties>
</file>