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109207"/>
    <w:bookmarkStart w:id="1" w:name="_GoBack"/>
    <w:bookmarkEnd w:id="1"/>
    <w:p w14:paraId="00FF4EF3" w14:textId="7703BF1D" w:rsidR="00413262" w:rsidRPr="00910504" w:rsidRDefault="002130B0" w:rsidP="00022456">
      <w:pPr>
        <w:rPr>
          <w:b/>
          <w:color w:val="5B9BD6"/>
          <w:lang w:val="cs-CZ"/>
        </w:rPr>
      </w:pPr>
      <w:r w:rsidRPr="00C42789">
        <w:rPr>
          <w:noProof/>
          <w:lang w:val="cs-CZ" w:eastAsia="cs-CZ"/>
        </w:rPr>
        <mc:AlternateContent>
          <mc:Choice Requires="wps">
            <w:drawing>
              <wp:anchor distT="0" distB="0" distL="114300" distR="114300" simplePos="0" relativeHeight="251657216" behindDoc="0" locked="0" layoutInCell="1" allowOverlap="1" wp14:anchorId="5C717978" wp14:editId="3B5C7C7A">
                <wp:simplePos x="0" y="0"/>
                <wp:positionH relativeFrom="margin">
                  <wp:posOffset>80442</wp:posOffset>
                </wp:positionH>
                <wp:positionV relativeFrom="paragraph">
                  <wp:posOffset>3057727</wp:posOffset>
                </wp:positionV>
                <wp:extent cx="5594741" cy="2421331"/>
                <wp:effectExtent l="0" t="0" r="25400" b="17145"/>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741" cy="2421331"/>
                        </a:xfrm>
                        <a:prstGeom prst="rect">
                          <a:avLst/>
                        </a:prstGeom>
                        <a:solidFill>
                          <a:srgbClr val="DBE5F1"/>
                        </a:solidFill>
                        <a:ln w="12700">
                          <a:solidFill>
                            <a:srgbClr val="365F91"/>
                          </a:solidFill>
                          <a:miter lim="800000"/>
                          <a:headEnd/>
                          <a:tailEnd/>
                        </a:ln>
                      </wps:spPr>
                      <wps:txbx>
                        <w:txbxContent>
                          <w:p w14:paraId="3ED0CAA1" w14:textId="77777777" w:rsidR="00284463" w:rsidRPr="00A11983" w:rsidRDefault="00284463" w:rsidP="005736EA">
                            <w:pPr>
                              <w:shd w:val="clear" w:color="auto" w:fill="D9E2F3" w:themeFill="accent1" w:themeFillTint="33"/>
                              <w:snapToGrid w:val="0"/>
                              <w:spacing w:before="240" w:after="240" w:line="360" w:lineRule="auto"/>
                              <w:jc w:val="center"/>
                              <w:rPr>
                                <w:b/>
                                <w:bCs/>
                                <w:color w:val="2F5496" w:themeColor="accent1" w:themeShade="BF"/>
                                <w:sz w:val="40"/>
                                <w:szCs w:val="40"/>
                                <w:lang w:val="cs-CZ"/>
                              </w:rPr>
                            </w:pPr>
                            <w:r w:rsidRPr="00A11983">
                              <w:rPr>
                                <w:b/>
                                <w:bCs/>
                                <w:color w:val="2F5496" w:themeColor="accent1" w:themeShade="BF"/>
                                <w:sz w:val="40"/>
                                <w:szCs w:val="40"/>
                                <w:lang w:val="cs-CZ"/>
                              </w:rPr>
                              <w:t xml:space="preserve">Zpráva k Akčnímu plánu České republiky k implementaci rezoluce Rady bezpečnosti OSN         č. 1325 (2000), o ženách, míru a bezpečnosti a souvisejících rezolucí na léta 2017-2020 za rok </w:t>
                            </w:r>
                          </w:p>
                          <w:p w14:paraId="2F011111" w14:textId="3A511BBC" w:rsidR="00284463" w:rsidRPr="00A11983" w:rsidRDefault="00284463" w:rsidP="005736EA">
                            <w:pPr>
                              <w:shd w:val="clear" w:color="auto" w:fill="D9E2F3" w:themeFill="accent1" w:themeFillTint="33"/>
                              <w:snapToGrid w:val="0"/>
                              <w:spacing w:before="240" w:after="240" w:line="360" w:lineRule="auto"/>
                              <w:jc w:val="center"/>
                              <w:rPr>
                                <w:b/>
                                <w:bCs/>
                                <w:color w:val="2F5496" w:themeColor="accent1" w:themeShade="BF"/>
                                <w:sz w:val="34"/>
                                <w:szCs w:val="34"/>
                                <w:lang w:val="cs-CZ"/>
                              </w:rPr>
                            </w:pPr>
                            <w:r w:rsidRPr="00A11983">
                              <w:rPr>
                                <w:b/>
                                <w:bCs/>
                                <w:color w:val="2F5496" w:themeColor="accent1" w:themeShade="BF"/>
                                <w:sz w:val="40"/>
                                <w:szCs w:val="40"/>
                                <w:lang w:val="cs-CZ"/>
                              </w:rPr>
                              <w:t>2020</w:t>
                            </w:r>
                          </w:p>
                          <w:p w14:paraId="56F880A8" w14:textId="77777777" w:rsidR="00284463" w:rsidRPr="00A11983" w:rsidRDefault="002844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6.35pt;margin-top:240.75pt;width:440.55pt;height:19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" fillcolor="#dbe5f1" strokecolor="#365f91" strokeweight="1pt">
                <v:textbox>
                  <w:txbxContent>
                    <w:p w14:paraId="3ED0CAA1" w14:textId="77777777" w:rsidR="00284463" w:rsidRPr="00A11983" w:rsidRDefault="00284463" w:rsidP="005736EA">
                      <w:pPr>
                        <w:shd w:val="clear" w:color="auto" w:fill="D9E2F3" w:themeFill="accent1" w:themeFillTint="33"/>
                        <w:snapToGrid w:val="0"/>
                        <w:spacing w:before="240" w:after="240" w:line="360" w:lineRule="auto"/>
                        <w:jc w:val="center"/>
                        <w:rPr>
                          <w:b/>
                          <w:bCs/>
                          <w:color w:val="2F5496" w:themeColor="accent1" w:themeShade="BF"/>
                          <w:sz w:val="40"/>
                          <w:szCs w:val="40"/>
                          <w:lang w:val="cs-CZ"/>
                        </w:rPr>
                      </w:pPr>
                      <w:r w:rsidRPr="00A11983">
                        <w:rPr>
                          <w:b/>
                          <w:bCs/>
                          <w:color w:val="2F5496" w:themeColor="accent1" w:themeShade="BF"/>
                          <w:sz w:val="40"/>
                          <w:szCs w:val="40"/>
                          <w:lang w:val="cs-CZ"/>
                        </w:rPr>
                        <w:t xml:space="preserve">Zpráva k Akčnímu plánu České republiky k implementaci rezoluce Rady bezpečnosti OSN         č. 1325 (2000), o ženách, míru a bezpečnosti a souvisejících rezolucí na léta 2017-2020 za rok </w:t>
                      </w:r>
                    </w:p>
                    <w:p w14:paraId="2F011111" w14:textId="3A511BBC" w:rsidR="00284463" w:rsidRPr="00A11983" w:rsidRDefault="00284463" w:rsidP="005736EA">
                      <w:pPr>
                        <w:shd w:val="clear" w:color="auto" w:fill="D9E2F3" w:themeFill="accent1" w:themeFillTint="33"/>
                        <w:snapToGrid w:val="0"/>
                        <w:spacing w:before="240" w:after="240" w:line="360" w:lineRule="auto"/>
                        <w:jc w:val="center"/>
                        <w:rPr>
                          <w:b/>
                          <w:bCs/>
                          <w:color w:val="2F5496" w:themeColor="accent1" w:themeShade="BF"/>
                          <w:sz w:val="34"/>
                          <w:szCs w:val="34"/>
                          <w:lang w:val="cs-CZ"/>
                        </w:rPr>
                      </w:pPr>
                      <w:r w:rsidRPr="00A11983">
                        <w:rPr>
                          <w:b/>
                          <w:bCs/>
                          <w:color w:val="2F5496" w:themeColor="accent1" w:themeShade="BF"/>
                          <w:sz w:val="40"/>
                          <w:szCs w:val="40"/>
                          <w:lang w:val="cs-CZ"/>
                        </w:rPr>
                        <w:t>2020</w:t>
                      </w:r>
                    </w:p>
                    <w:p w14:paraId="56F880A8" w14:textId="77777777" w:rsidR="00284463" w:rsidRPr="00A11983" w:rsidRDefault="00284463"/>
                  </w:txbxContent>
                </v:textbox>
                <w10:wrap anchorx="margin"/>
              </v:shape>
            </w:pict>
          </mc:Fallback>
        </mc:AlternateContent>
      </w:r>
      <w:r w:rsidR="00120E5C" w:rsidRPr="00C42789">
        <w:rPr>
          <w:color w:val="365F91"/>
          <w:sz w:val="36"/>
          <w:szCs w:val="22"/>
          <w:lang w:val="cs-CZ"/>
        </w:rPr>
        <w:br w:type="page"/>
      </w:r>
      <w:r w:rsidR="00413262" w:rsidRPr="00910504">
        <w:rPr>
          <w:b/>
          <w:color w:val="2F5496" w:themeColor="accent1" w:themeShade="BF"/>
          <w:lang w:val="cs-CZ"/>
        </w:rPr>
        <w:lastRenderedPageBreak/>
        <w:t>Obsah</w:t>
      </w:r>
      <w:bookmarkEnd w:id="0"/>
    </w:p>
    <w:p w14:paraId="43F8AEBF" w14:textId="53F76621" w:rsidR="0059330D" w:rsidRPr="00910504" w:rsidRDefault="00413262">
      <w:pPr>
        <w:pStyle w:val="Obsah1"/>
        <w:tabs>
          <w:tab w:val="right" w:leader="dot" w:pos="9062"/>
        </w:tabs>
        <w:rPr>
          <w:rFonts w:ascii="Times New Roman" w:eastAsiaTheme="minorEastAsia" w:hAnsi="Times New Roman"/>
          <w:b w:val="0"/>
          <w:bCs w:val="0"/>
          <w:i w:val="0"/>
          <w:iCs w:val="0"/>
          <w:noProof/>
          <w:lang w:val="en-US" w:eastAsia="en-US"/>
        </w:rPr>
      </w:pPr>
      <w:r w:rsidRPr="00910504">
        <w:rPr>
          <w:rFonts w:ascii="Times New Roman" w:hAnsi="Times New Roman"/>
          <w:b w:val="0"/>
          <w:bCs w:val="0"/>
          <w:i w:val="0"/>
          <w:lang w:val="cs-CZ"/>
        </w:rPr>
        <w:fldChar w:fldCharType="begin"/>
      </w:r>
      <w:r w:rsidRPr="00910504">
        <w:rPr>
          <w:rFonts w:ascii="Times New Roman" w:hAnsi="Times New Roman"/>
          <w:b w:val="0"/>
          <w:i w:val="0"/>
          <w:lang w:val="cs-CZ"/>
        </w:rPr>
        <w:instrText xml:space="preserve"> TOC \o "1-3" \h \z \u </w:instrText>
      </w:r>
      <w:r w:rsidRPr="00910504">
        <w:rPr>
          <w:rFonts w:ascii="Times New Roman" w:hAnsi="Times New Roman"/>
          <w:b w:val="0"/>
          <w:bCs w:val="0"/>
          <w:i w:val="0"/>
          <w:lang w:val="cs-CZ"/>
        </w:rPr>
        <w:fldChar w:fldCharType="separate"/>
      </w:r>
      <w:hyperlink w:anchor="_Toc39673324" w:history="1">
        <w:r w:rsidR="0059330D" w:rsidRPr="00910504">
          <w:rPr>
            <w:rStyle w:val="Hypertextovodkaz"/>
            <w:rFonts w:ascii="Times New Roman" w:hAnsi="Times New Roman"/>
            <w:b w:val="0"/>
            <w:noProof/>
            <w:lang w:val="cs-CZ"/>
          </w:rPr>
          <w:t>Úvod</w:t>
        </w:r>
        <w:r w:rsidR="0059330D" w:rsidRPr="00910504">
          <w:rPr>
            <w:rFonts w:ascii="Times New Roman" w:hAnsi="Times New Roman"/>
            <w:b w:val="0"/>
            <w:noProof/>
            <w:webHidden/>
          </w:rPr>
          <w:tab/>
        </w:r>
        <w:r w:rsidR="0059330D" w:rsidRPr="00910504">
          <w:rPr>
            <w:rFonts w:ascii="Times New Roman" w:hAnsi="Times New Roman"/>
            <w:b w:val="0"/>
            <w:noProof/>
            <w:webHidden/>
          </w:rPr>
          <w:fldChar w:fldCharType="begin"/>
        </w:r>
        <w:r w:rsidR="0059330D" w:rsidRPr="00910504">
          <w:rPr>
            <w:rFonts w:ascii="Times New Roman" w:hAnsi="Times New Roman"/>
            <w:b w:val="0"/>
            <w:noProof/>
            <w:webHidden/>
          </w:rPr>
          <w:instrText xml:space="preserve"> PAGEREF _Toc39673324 \h </w:instrText>
        </w:r>
        <w:r w:rsidR="0059330D" w:rsidRPr="00910504">
          <w:rPr>
            <w:rFonts w:ascii="Times New Roman" w:hAnsi="Times New Roman"/>
            <w:b w:val="0"/>
            <w:noProof/>
            <w:webHidden/>
          </w:rPr>
        </w:r>
        <w:r w:rsidR="0059330D" w:rsidRPr="00910504">
          <w:rPr>
            <w:rFonts w:ascii="Times New Roman" w:hAnsi="Times New Roman"/>
            <w:b w:val="0"/>
            <w:noProof/>
            <w:webHidden/>
          </w:rPr>
          <w:fldChar w:fldCharType="separate"/>
        </w:r>
        <w:r w:rsidR="004A6862">
          <w:rPr>
            <w:rFonts w:ascii="Times New Roman" w:hAnsi="Times New Roman"/>
            <w:b w:val="0"/>
            <w:noProof/>
            <w:webHidden/>
          </w:rPr>
          <w:t>3</w:t>
        </w:r>
        <w:r w:rsidR="0059330D" w:rsidRPr="00910504">
          <w:rPr>
            <w:rFonts w:ascii="Times New Roman" w:hAnsi="Times New Roman"/>
            <w:b w:val="0"/>
            <w:noProof/>
            <w:webHidden/>
          </w:rPr>
          <w:fldChar w:fldCharType="end"/>
        </w:r>
      </w:hyperlink>
    </w:p>
    <w:p w14:paraId="3654AB2E" w14:textId="6244E5A3" w:rsidR="0059330D" w:rsidRPr="00910504" w:rsidRDefault="001E50F1">
      <w:pPr>
        <w:pStyle w:val="Obsah1"/>
        <w:tabs>
          <w:tab w:val="left" w:pos="480"/>
          <w:tab w:val="right" w:leader="dot" w:pos="9062"/>
        </w:tabs>
        <w:rPr>
          <w:rFonts w:ascii="Times New Roman" w:eastAsiaTheme="minorEastAsia" w:hAnsi="Times New Roman"/>
          <w:b w:val="0"/>
          <w:bCs w:val="0"/>
          <w:i w:val="0"/>
          <w:iCs w:val="0"/>
          <w:noProof/>
          <w:lang w:val="en-US" w:eastAsia="en-US"/>
        </w:rPr>
      </w:pPr>
      <w:hyperlink w:anchor="_Toc39673325" w:history="1">
        <w:r w:rsidR="0059330D" w:rsidRPr="00910504">
          <w:rPr>
            <w:rStyle w:val="Hypertextovodkaz"/>
            <w:rFonts w:ascii="Times New Roman" w:hAnsi="Times New Roman"/>
            <w:b w:val="0"/>
            <w:noProof/>
            <w:lang w:val="cs-CZ"/>
          </w:rPr>
          <w:t>1.</w:t>
        </w:r>
        <w:r w:rsidR="0059330D" w:rsidRPr="00910504">
          <w:rPr>
            <w:rFonts w:ascii="Times New Roman" w:eastAsiaTheme="minorEastAsia" w:hAnsi="Times New Roman"/>
            <w:b w:val="0"/>
            <w:bCs w:val="0"/>
            <w:i w:val="0"/>
            <w:iCs w:val="0"/>
            <w:noProof/>
            <w:lang w:val="en-US" w:eastAsia="en-US"/>
          </w:rPr>
          <w:tab/>
        </w:r>
        <w:r w:rsidR="0059330D" w:rsidRPr="00910504">
          <w:rPr>
            <w:rStyle w:val="Hypertextovodkaz"/>
            <w:rFonts w:ascii="Times New Roman" w:hAnsi="Times New Roman"/>
            <w:b w:val="0"/>
            <w:noProof/>
            <w:lang w:val="cs-CZ"/>
          </w:rPr>
          <w:t>Vyrovnané zastoupení žen a mužů v rozhodovacích pozicích</w:t>
        </w:r>
        <w:r w:rsidR="0059330D" w:rsidRPr="00910504">
          <w:rPr>
            <w:rFonts w:ascii="Times New Roman" w:hAnsi="Times New Roman"/>
            <w:b w:val="0"/>
            <w:noProof/>
            <w:webHidden/>
          </w:rPr>
          <w:tab/>
        </w:r>
        <w:r w:rsidR="0059330D" w:rsidRPr="00910504">
          <w:rPr>
            <w:rFonts w:ascii="Times New Roman" w:hAnsi="Times New Roman"/>
            <w:b w:val="0"/>
            <w:noProof/>
            <w:webHidden/>
          </w:rPr>
          <w:fldChar w:fldCharType="begin"/>
        </w:r>
        <w:r w:rsidR="0059330D" w:rsidRPr="00910504">
          <w:rPr>
            <w:rFonts w:ascii="Times New Roman" w:hAnsi="Times New Roman"/>
            <w:b w:val="0"/>
            <w:noProof/>
            <w:webHidden/>
          </w:rPr>
          <w:instrText xml:space="preserve"> PAGEREF _Toc39673325 \h </w:instrText>
        </w:r>
        <w:r w:rsidR="0059330D" w:rsidRPr="00910504">
          <w:rPr>
            <w:rFonts w:ascii="Times New Roman" w:hAnsi="Times New Roman"/>
            <w:b w:val="0"/>
            <w:noProof/>
            <w:webHidden/>
          </w:rPr>
        </w:r>
        <w:r w:rsidR="0059330D" w:rsidRPr="00910504">
          <w:rPr>
            <w:rFonts w:ascii="Times New Roman" w:hAnsi="Times New Roman"/>
            <w:b w:val="0"/>
            <w:noProof/>
            <w:webHidden/>
          </w:rPr>
          <w:fldChar w:fldCharType="separate"/>
        </w:r>
        <w:r w:rsidR="004A6862">
          <w:rPr>
            <w:rFonts w:ascii="Times New Roman" w:hAnsi="Times New Roman"/>
            <w:b w:val="0"/>
            <w:noProof/>
            <w:webHidden/>
          </w:rPr>
          <w:t>5</w:t>
        </w:r>
        <w:r w:rsidR="0059330D" w:rsidRPr="00910504">
          <w:rPr>
            <w:rFonts w:ascii="Times New Roman" w:hAnsi="Times New Roman"/>
            <w:b w:val="0"/>
            <w:noProof/>
            <w:webHidden/>
          </w:rPr>
          <w:fldChar w:fldCharType="end"/>
        </w:r>
      </w:hyperlink>
    </w:p>
    <w:p w14:paraId="6937DCB9" w14:textId="62C4E64E"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26" w:history="1">
        <w:r w:rsidR="0059330D" w:rsidRPr="00910504">
          <w:rPr>
            <w:rStyle w:val="Hypertextovodkaz"/>
            <w:rFonts w:ascii="Times New Roman" w:hAnsi="Times New Roman"/>
            <w:b w:val="0"/>
            <w:noProof/>
            <w:sz w:val="24"/>
            <w:szCs w:val="24"/>
            <w:lang w:val="cs-CZ"/>
          </w:rPr>
          <w:t>Úkol č. 1</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_Toc39673326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5</w:t>
        </w:r>
        <w:r w:rsidR="0059330D" w:rsidRPr="00910504">
          <w:rPr>
            <w:rFonts w:ascii="Times New Roman" w:hAnsi="Times New Roman"/>
            <w:b w:val="0"/>
            <w:noProof/>
            <w:webHidden/>
            <w:sz w:val="24"/>
            <w:szCs w:val="24"/>
          </w:rPr>
          <w:fldChar w:fldCharType="end"/>
        </w:r>
      </w:hyperlink>
    </w:p>
    <w:p w14:paraId="1F1B9D52" w14:textId="1DEB707C"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27" w:history="1">
        <w:r w:rsidR="0059330D" w:rsidRPr="00910504">
          <w:rPr>
            <w:rStyle w:val="Hypertextovodkaz"/>
            <w:rFonts w:ascii="Times New Roman" w:hAnsi="Times New Roman"/>
            <w:b w:val="0"/>
            <w:noProof/>
            <w:sz w:val="24"/>
            <w:szCs w:val="24"/>
            <w:lang w:val="cs-CZ"/>
          </w:rPr>
          <w:t>Úkol č. 2</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_Toc39673327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10</w:t>
        </w:r>
        <w:r w:rsidR="0059330D" w:rsidRPr="00910504">
          <w:rPr>
            <w:rFonts w:ascii="Times New Roman" w:hAnsi="Times New Roman"/>
            <w:b w:val="0"/>
            <w:noProof/>
            <w:webHidden/>
            <w:sz w:val="24"/>
            <w:szCs w:val="24"/>
          </w:rPr>
          <w:fldChar w:fldCharType="end"/>
        </w:r>
      </w:hyperlink>
    </w:p>
    <w:p w14:paraId="016F0CCA" w14:textId="7C3CE161"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28" w:history="1">
        <w:r w:rsidR="0059330D" w:rsidRPr="00910504">
          <w:rPr>
            <w:rStyle w:val="Hypertextovodkaz"/>
            <w:rFonts w:ascii="Times New Roman" w:hAnsi="Times New Roman"/>
            <w:b w:val="0"/>
            <w:noProof/>
            <w:sz w:val="24"/>
            <w:szCs w:val="24"/>
            <w:lang w:val="cs-CZ"/>
          </w:rPr>
          <w:t>Úkol č. 3</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_Toc39673328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11</w:t>
        </w:r>
        <w:r w:rsidR="0059330D" w:rsidRPr="00910504">
          <w:rPr>
            <w:rFonts w:ascii="Times New Roman" w:hAnsi="Times New Roman"/>
            <w:b w:val="0"/>
            <w:noProof/>
            <w:webHidden/>
            <w:sz w:val="24"/>
            <w:szCs w:val="24"/>
          </w:rPr>
          <w:fldChar w:fldCharType="end"/>
        </w:r>
      </w:hyperlink>
    </w:p>
    <w:p w14:paraId="1C4A4520" w14:textId="66F6B374"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29" w:history="1">
        <w:r w:rsidR="0059330D" w:rsidRPr="00910504">
          <w:rPr>
            <w:rStyle w:val="Hypertextovodkaz"/>
            <w:rFonts w:ascii="Times New Roman" w:hAnsi="Times New Roman"/>
            <w:b w:val="0"/>
            <w:noProof/>
            <w:sz w:val="24"/>
            <w:szCs w:val="24"/>
            <w:lang w:val="cs-CZ"/>
          </w:rPr>
          <w:t>Úkol č. 4</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_Toc39673329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15</w:t>
        </w:r>
        <w:r w:rsidR="0059330D" w:rsidRPr="00910504">
          <w:rPr>
            <w:rFonts w:ascii="Times New Roman" w:hAnsi="Times New Roman"/>
            <w:b w:val="0"/>
            <w:noProof/>
            <w:webHidden/>
            <w:sz w:val="24"/>
            <w:szCs w:val="24"/>
          </w:rPr>
          <w:fldChar w:fldCharType="end"/>
        </w:r>
      </w:hyperlink>
    </w:p>
    <w:p w14:paraId="684AA8C0" w14:textId="79000665" w:rsidR="0059330D" w:rsidRPr="00910504" w:rsidRDefault="001E50F1">
      <w:pPr>
        <w:pStyle w:val="Obsah1"/>
        <w:tabs>
          <w:tab w:val="left" w:pos="480"/>
          <w:tab w:val="right" w:leader="dot" w:pos="9062"/>
        </w:tabs>
        <w:rPr>
          <w:rFonts w:ascii="Times New Roman" w:eastAsiaTheme="minorEastAsia" w:hAnsi="Times New Roman"/>
          <w:b w:val="0"/>
          <w:bCs w:val="0"/>
          <w:i w:val="0"/>
          <w:iCs w:val="0"/>
          <w:noProof/>
          <w:lang w:val="en-US" w:eastAsia="en-US"/>
        </w:rPr>
      </w:pPr>
      <w:hyperlink w:anchor="_Toc39673330" w:history="1">
        <w:r w:rsidR="0059330D" w:rsidRPr="00910504">
          <w:rPr>
            <w:rStyle w:val="Hypertextovodkaz"/>
            <w:rFonts w:ascii="Times New Roman" w:hAnsi="Times New Roman"/>
            <w:b w:val="0"/>
            <w:noProof/>
            <w:lang w:val="cs-CZ"/>
          </w:rPr>
          <w:t>2.</w:t>
        </w:r>
        <w:r w:rsidR="0059330D" w:rsidRPr="00910504">
          <w:rPr>
            <w:rFonts w:ascii="Times New Roman" w:eastAsiaTheme="minorEastAsia" w:hAnsi="Times New Roman"/>
            <w:b w:val="0"/>
            <w:bCs w:val="0"/>
            <w:i w:val="0"/>
            <w:iCs w:val="0"/>
            <w:noProof/>
            <w:lang w:val="en-US" w:eastAsia="en-US"/>
          </w:rPr>
          <w:tab/>
        </w:r>
        <w:r w:rsidR="0059330D" w:rsidRPr="00910504">
          <w:rPr>
            <w:rStyle w:val="Hypertextovodkaz"/>
            <w:rFonts w:ascii="Times New Roman" w:hAnsi="Times New Roman"/>
            <w:b w:val="0"/>
            <w:noProof/>
            <w:lang w:val="cs-CZ"/>
          </w:rPr>
          <w:t>Slaďování pracovního a soukromého života ve vztahu k Agendě WPS</w:t>
        </w:r>
        <w:r w:rsidR="0059330D" w:rsidRPr="00910504">
          <w:rPr>
            <w:rFonts w:ascii="Times New Roman" w:hAnsi="Times New Roman"/>
            <w:b w:val="0"/>
            <w:noProof/>
            <w:webHidden/>
          </w:rPr>
          <w:tab/>
        </w:r>
        <w:r w:rsidR="0059330D" w:rsidRPr="00910504">
          <w:rPr>
            <w:rFonts w:ascii="Times New Roman" w:hAnsi="Times New Roman"/>
            <w:b w:val="0"/>
            <w:noProof/>
            <w:webHidden/>
          </w:rPr>
          <w:fldChar w:fldCharType="begin"/>
        </w:r>
        <w:r w:rsidR="0059330D" w:rsidRPr="00910504">
          <w:rPr>
            <w:rFonts w:ascii="Times New Roman" w:hAnsi="Times New Roman"/>
            <w:b w:val="0"/>
            <w:noProof/>
            <w:webHidden/>
          </w:rPr>
          <w:instrText xml:space="preserve"> PAGEREF _Toc39673330 \h </w:instrText>
        </w:r>
        <w:r w:rsidR="0059330D" w:rsidRPr="00910504">
          <w:rPr>
            <w:rFonts w:ascii="Times New Roman" w:hAnsi="Times New Roman"/>
            <w:b w:val="0"/>
            <w:noProof/>
            <w:webHidden/>
          </w:rPr>
        </w:r>
        <w:r w:rsidR="0059330D" w:rsidRPr="00910504">
          <w:rPr>
            <w:rFonts w:ascii="Times New Roman" w:hAnsi="Times New Roman"/>
            <w:b w:val="0"/>
            <w:noProof/>
            <w:webHidden/>
          </w:rPr>
          <w:fldChar w:fldCharType="separate"/>
        </w:r>
        <w:r w:rsidR="004A6862">
          <w:rPr>
            <w:rFonts w:ascii="Times New Roman" w:hAnsi="Times New Roman"/>
            <w:b w:val="0"/>
            <w:noProof/>
            <w:webHidden/>
          </w:rPr>
          <w:t>20</w:t>
        </w:r>
        <w:r w:rsidR="0059330D" w:rsidRPr="00910504">
          <w:rPr>
            <w:rFonts w:ascii="Times New Roman" w:hAnsi="Times New Roman"/>
            <w:b w:val="0"/>
            <w:noProof/>
            <w:webHidden/>
          </w:rPr>
          <w:fldChar w:fldCharType="end"/>
        </w:r>
      </w:hyperlink>
    </w:p>
    <w:p w14:paraId="1338C813" w14:textId="2098965B"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31" w:history="1">
        <w:r w:rsidR="0059330D" w:rsidRPr="00910504">
          <w:rPr>
            <w:rStyle w:val="Hypertextovodkaz"/>
            <w:rFonts w:ascii="Times New Roman" w:hAnsi="Times New Roman"/>
            <w:b w:val="0"/>
            <w:noProof/>
            <w:sz w:val="24"/>
            <w:szCs w:val="24"/>
            <w:lang w:val="cs-CZ"/>
          </w:rPr>
          <w:t>Úkol č. 5</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_Toc39673331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20</w:t>
        </w:r>
        <w:r w:rsidR="0059330D" w:rsidRPr="00910504">
          <w:rPr>
            <w:rFonts w:ascii="Times New Roman" w:hAnsi="Times New Roman"/>
            <w:b w:val="0"/>
            <w:noProof/>
            <w:webHidden/>
            <w:sz w:val="24"/>
            <w:szCs w:val="24"/>
          </w:rPr>
          <w:fldChar w:fldCharType="end"/>
        </w:r>
      </w:hyperlink>
    </w:p>
    <w:p w14:paraId="04603582" w14:textId="0A1E429A"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32" w:history="1">
        <w:r w:rsidR="0059330D" w:rsidRPr="00910504">
          <w:rPr>
            <w:rStyle w:val="Hypertextovodkaz"/>
            <w:rFonts w:ascii="Times New Roman" w:hAnsi="Times New Roman"/>
            <w:b w:val="0"/>
            <w:noProof/>
            <w:sz w:val="24"/>
            <w:szCs w:val="24"/>
            <w:lang w:val="cs-CZ"/>
          </w:rPr>
          <w:t>Úkol č. 6</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_Toc39673332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23</w:t>
        </w:r>
        <w:r w:rsidR="0059330D" w:rsidRPr="00910504">
          <w:rPr>
            <w:rFonts w:ascii="Times New Roman" w:hAnsi="Times New Roman"/>
            <w:b w:val="0"/>
            <w:noProof/>
            <w:webHidden/>
            <w:sz w:val="24"/>
            <w:szCs w:val="24"/>
          </w:rPr>
          <w:fldChar w:fldCharType="end"/>
        </w:r>
      </w:hyperlink>
    </w:p>
    <w:p w14:paraId="79F15CF8" w14:textId="4DC5F689"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33" w:history="1">
        <w:r w:rsidR="0059330D" w:rsidRPr="00910504">
          <w:rPr>
            <w:rStyle w:val="Hypertextovodkaz"/>
            <w:rFonts w:ascii="Times New Roman" w:hAnsi="Times New Roman"/>
            <w:b w:val="0"/>
            <w:noProof/>
            <w:sz w:val="24"/>
            <w:szCs w:val="24"/>
            <w:lang w:val="cs-CZ"/>
          </w:rPr>
          <w:t>Úkol č. 7</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_Toc39673333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23</w:t>
        </w:r>
        <w:r w:rsidR="0059330D" w:rsidRPr="00910504">
          <w:rPr>
            <w:rFonts w:ascii="Times New Roman" w:hAnsi="Times New Roman"/>
            <w:b w:val="0"/>
            <w:noProof/>
            <w:webHidden/>
            <w:sz w:val="24"/>
            <w:szCs w:val="24"/>
          </w:rPr>
          <w:fldChar w:fldCharType="end"/>
        </w:r>
      </w:hyperlink>
    </w:p>
    <w:p w14:paraId="3B887E65" w14:textId="2AF03E45" w:rsidR="0059330D" w:rsidRPr="00910504" w:rsidRDefault="001E50F1">
      <w:pPr>
        <w:pStyle w:val="Obsah1"/>
        <w:tabs>
          <w:tab w:val="left" w:pos="480"/>
          <w:tab w:val="right" w:leader="dot" w:pos="9062"/>
        </w:tabs>
        <w:rPr>
          <w:rFonts w:ascii="Times New Roman" w:eastAsiaTheme="minorEastAsia" w:hAnsi="Times New Roman"/>
          <w:b w:val="0"/>
          <w:bCs w:val="0"/>
          <w:i w:val="0"/>
          <w:iCs w:val="0"/>
          <w:noProof/>
          <w:lang w:val="en-US" w:eastAsia="en-US"/>
        </w:rPr>
      </w:pPr>
      <w:hyperlink w:anchor="_Toc39673334" w:history="1">
        <w:r w:rsidR="0059330D" w:rsidRPr="00910504">
          <w:rPr>
            <w:rStyle w:val="Hypertextovodkaz"/>
            <w:rFonts w:ascii="Times New Roman" w:hAnsi="Times New Roman"/>
            <w:b w:val="0"/>
            <w:noProof/>
            <w:lang w:val="cs-CZ"/>
          </w:rPr>
          <w:t>3.</w:t>
        </w:r>
        <w:r w:rsidR="0059330D" w:rsidRPr="00910504">
          <w:rPr>
            <w:rFonts w:ascii="Times New Roman" w:eastAsiaTheme="minorEastAsia" w:hAnsi="Times New Roman"/>
            <w:b w:val="0"/>
            <w:bCs w:val="0"/>
            <w:i w:val="0"/>
            <w:iCs w:val="0"/>
            <w:noProof/>
            <w:lang w:val="en-US" w:eastAsia="en-US"/>
          </w:rPr>
          <w:tab/>
        </w:r>
        <w:r w:rsidR="0059330D" w:rsidRPr="00910504">
          <w:rPr>
            <w:rStyle w:val="Hypertextovodkaz"/>
            <w:rFonts w:ascii="Times New Roman" w:hAnsi="Times New Roman"/>
            <w:b w:val="0"/>
            <w:noProof/>
            <w:lang w:val="cs-CZ"/>
          </w:rPr>
          <w:t>Vzdělávání a školení ve vztahu k Agendě WPS</w:t>
        </w:r>
        <w:r w:rsidR="0059330D" w:rsidRPr="00910504">
          <w:rPr>
            <w:rFonts w:ascii="Times New Roman" w:hAnsi="Times New Roman"/>
            <w:b w:val="0"/>
            <w:noProof/>
            <w:webHidden/>
          </w:rPr>
          <w:tab/>
        </w:r>
        <w:r w:rsidR="0059330D" w:rsidRPr="00910504">
          <w:rPr>
            <w:rFonts w:ascii="Times New Roman" w:hAnsi="Times New Roman"/>
            <w:b w:val="0"/>
            <w:noProof/>
            <w:webHidden/>
          </w:rPr>
          <w:fldChar w:fldCharType="begin"/>
        </w:r>
        <w:r w:rsidR="0059330D" w:rsidRPr="00910504">
          <w:rPr>
            <w:rFonts w:ascii="Times New Roman" w:hAnsi="Times New Roman"/>
            <w:b w:val="0"/>
            <w:noProof/>
            <w:webHidden/>
          </w:rPr>
          <w:instrText xml:space="preserve"> PAGEREF _Toc39673334 \h </w:instrText>
        </w:r>
        <w:r w:rsidR="0059330D" w:rsidRPr="00910504">
          <w:rPr>
            <w:rFonts w:ascii="Times New Roman" w:hAnsi="Times New Roman"/>
            <w:b w:val="0"/>
            <w:noProof/>
            <w:webHidden/>
          </w:rPr>
        </w:r>
        <w:r w:rsidR="0059330D" w:rsidRPr="00910504">
          <w:rPr>
            <w:rFonts w:ascii="Times New Roman" w:hAnsi="Times New Roman"/>
            <w:b w:val="0"/>
            <w:noProof/>
            <w:webHidden/>
          </w:rPr>
          <w:fldChar w:fldCharType="separate"/>
        </w:r>
        <w:r w:rsidR="004A6862">
          <w:rPr>
            <w:rFonts w:ascii="Times New Roman" w:hAnsi="Times New Roman"/>
            <w:b w:val="0"/>
            <w:noProof/>
            <w:webHidden/>
          </w:rPr>
          <w:t>27</w:t>
        </w:r>
        <w:r w:rsidR="0059330D" w:rsidRPr="00910504">
          <w:rPr>
            <w:rFonts w:ascii="Times New Roman" w:hAnsi="Times New Roman"/>
            <w:b w:val="0"/>
            <w:noProof/>
            <w:webHidden/>
          </w:rPr>
          <w:fldChar w:fldCharType="end"/>
        </w:r>
      </w:hyperlink>
    </w:p>
    <w:p w14:paraId="7E65BC88" w14:textId="36B03BA8"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35" w:history="1">
        <w:r w:rsidR="0059330D" w:rsidRPr="00910504">
          <w:rPr>
            <w:rStyle w:val="Hypertextovodkaz"/>
            <w:rFonts w:ascii="Times New Roman" w:hAnsi="Times New Roman"/>
            <w:b w:val="0"/>
            <w:noProof/>
            <w:sz w:val="24"/>
            <w:szCs w:val="24"/>
            <w:lang w:val="cs-CZ"/>
          </w:rPr>
          <w:t>Úkol č. 8</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_Toc39673335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27</w:t>
        </w:r>
        <w:r w:rsidR="0059330D" w:rsidRPr="00910504">
          <w:rPr>
            <w:rFonts w:ascii="Times New Roman" w:hAnsi="Times New Roman"/>
            <w:b w:val="0"/>
            <w:noProof/>
            <w:webHidden/>
            <w:sz w:val="24"/>
            <w:szCs w:val="24"/>
          </w:rPr>
          <w:fldChar w:fldCharType="end"/>
        </w:r>
      </w:hyperlink>
    </w:p>
    <w:p w14:paraId="1FFEB76D" w14:textId="2D9EDFE2"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36" w:history="1">
        <w:r w:rsidR="0059330D" w:rsidRPr="00910504">
          <w:rPr>
            <w:rStyle w:val="Hypertextovodkaz"/>
            <w:rFonts w:ascii="Times New Roman" w:hAnsi="Times New Roman"/>
            <w:b w:val="0"/>
            <w:noProof/>
            <w:sz w:val="24"/>
            <w:szCs w:val="24"/>
            <w:lang w:val="cs-CZ"/>
          </w:rPr>
          <w:t>Úkol č. 9</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_Toc39673336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29</w:t>
        </w:r>
        <w:r w:rsidR="0059330D" w:rsidRPr="00910504">
          <w:rPr>
            <w:rFonts w:ascii="Times New Roman" w:hAnsi="Times New Roman"/>
            <w:b w:val="0"/>
            <w:noProof/>
            <w:webHidden/>
            <w:sz w:val="24"/>
            <w:szCs w:val="24"/>
          </w:rPr>
          <w:fldChar w:fldCharType="end"/>
        </w:r>
      </w:hyperlink>
    </w:p>
    <w:p w14:paraId="09CF9A8E" w14:textId="66A26D82" w:rsidR="0059330D" w:rsidRPr="00910504" w:rsidRDefault="001E50F1">
      <w:pPr>
        <w:pStyle w:val="Obsah1"/>
        <w:tabs>
          <w:tab w:val="left" w:pos="480"/>
          <w:tab w:val="right" w:leader="dot" w:pos="9062"/>
        </w:tabs>
        <w:rPr>
          <w:rFonts w:ascii="Times New Roman" w:eastAsiaTheme="minorEastAsia" w:hAnsi="Times New Roman"/>
          <w:b w:val="0"/>
          <w:bCs w:val="0"/>
          <w:i w:val="0"/>
          <w:iCs w:val="0"/>
          <w:noProof/>
          <w:lang w:val="en-US" w:eastAsia="en-US"/>
        </w:rPr>
      </w:pPr>
      <w:hyperlink w:anchor="_Toc39673337" w:history="1">
        <w:r w:rsidR="0059330D" w:rsidRPr="00910504">
          <w:rPr>
            <w:rStyle w:val="Hypertextovodkaz"/>
            <w:rFonts w:ascii="Times New Roman" w:hAnsi="Times New Roman"/>
            <w:b w:val="0"/>
            <w:noProof/>
            <w:lang w:val="cs-CZ"/>
          </w:rPr>
          <w:t>4.</w:t>
        </w:r>
        <w:r w:rsidR="0059330D" w:rsidRPr="00910504">
          <w:rPr>
            <w:rFonts w:ascii="Times New Roman" w:eastAsiaTheme="minorEastAsia" w:hAnsi="Times New Roman"/>
            <w:b w:val="0"/>
            <w:bCs w:val="0"/>
            <w:i w:val="0"/>
            <w:iCs w:val="0"/>
            <w:noProof/>
            <w:lang w:val="en-US" w:eastAsia="en-US"/>
          </w:rPr>
          <w:tab/>
        </w:r>
        <w:r w:rsidR="0059330D" w:rsidRPr="00910504">
          <w:rPr>
            <w:rStyle w:val="Hypertextovodkaz"/>
            <w:rFonts w:ascii="Times New Roman" w:hAnsi="Times New Roman"/>
            <w:b w:val="0"/>
            <w:noProof/>
            <w:lang w:val="cs-CZ"/>
          </w:rPr>
          <w:t>Mezinárodní spolupráce na prosazování problematiky WPS</w:t>
        </w:r>
        <w:r w:rsidR="0059330D" w:rsidRPr="00910504">
          <w:rPr>
            <w:rFonts w:ascii="Times New Roman" w:hAnsi="Times New Roman"/>
            <w:b w:val="0"/>
            <w:noProof/>
            <w:webHidden/>
          </w:rPr>
          <w:tab/>
        </w:r>
        <w:r w:rsidR="0059330D" w:rsidRPr="00910504">
          <w:rPr>
            <w:rFonts w:ascii="Times New Roman" w:hAnsi="Times New Roman"/>
            <w:b w:val="0"/>
            <w:noProof/>
            <w:webHidden/>
          </w:rPr>
          <w:fldChar w:fldCharType="begin"/>
        </w:r>
        <w:r w:rsidR="0059330D" w:rsidRPr="00910504">
          <w:rPr>
            <w:rFonts w:ascii="Times New Roman" w:hAnsi="Times New Roman"/>
            <w:b w:val="0"/>
            <w:noProof/>
            <w:webHidden/>
          </w:rPr>
          <w:instrText xml:space="preserve"> PAGEREF _Toc39673337 \h </w:instrText>
        </w:r>
        <w:r w:rsidR="0059330D" w:rsidRPr="00910504">
          <w:rPr>
            <w:rFonts w:ascii="Times New Roman" w:hAnsi="Times New Roman"/>
            <w:b w:val="0"/>
            <w:noProof/>
            <w:webHidden/>
          </w:rPr>
        </w:r>
        <w:r w:rsidR="0059330D" w:rsidRPr="00910504">
          <w:rPr>
            <w:rFonts w:ascii="Times New Roman" w:hAnsi="Times New Roman"/>
            <w:b w:val="0"/>
            <w:noProof/>
            <w:webHidden/>
          </w:rPr>
          <w:fldChar w:fldCharType="separate"/>
        </w:r>
        <w:r w:rsidR="004A6862">
          <w:rPr>
            <w:rFonts w:ascii="Times New Roman" w:hAnsi="Times New Roman"/>
            <w:b w:val="0"/>
            <w:noProof/>
            <w:webHidden/>
          </w:rPr>
          <w:t>30</w:t>
        </w:r>
        <w:r w:rsidR="0059330D" w:rsidRPr="00910504">
          <w:rPr>
            <w:rFonts w:ascii="Times New Roman" w:hAnsi="Times New Roman"/>
            <w:b w:val="0"/>
            <w:noProof/>
            <w:webHidden/>
          </w:rPr>
          <w:fldChar w:fldCharType="end"/>
        </w:r>
      </w:hyperlink>
    </w:p>
    <w:p w14:paraId="7C68F7C6" w14:textId="1689670C"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38" w:history="1">
        <w:r w:rsidR="0059330D" w:rsidRPr="00910504">
          <w:rPr>
            <w:rStyle w:val="Hypertextovodkaz"/>
            <w:rFonts w:ascii="Times New Roman" w:hAnsi="Times New Roman"/>
            <w:b w:val="0"/>
            <w:noProof/>
            <w:sz w:val="24"/>
            <w:szCs w:val="24"/>
            <w:lang w:val="cs-CZ"/>
          </w:rPr>
          <w:t>Úkol č. 10</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_Toc39673338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30</w:t>
        </w:r>
        <w:r w:rsidR="0059330D" w:rsidRPr="00910504">
          <w:rPr>
            <w:rFonts w:ascii="Times New Roman" w:hAnsi="Times New Roman"/>
            <w:b w:val="0"/>
            <w:noProof/>
            <w:webHidden/>
            <w:sz w:val="24"/>
            <w:szCs w:val="24"/>
          </w:rPr>
          <w:fldChar w:fldCharType="end"/>
        </w:r>
      </w:hyperlink>
    </w:p>
    <w:p w14:paraId="61F65DFD" w14:textId="14403C60"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39" w:history="1">
        <w:r w:rsidR="0059330D" w:rsidRPr="00910504">
          <w:rPr>
            <w:rStyle w:val="Hypertextovodkaz"/>
            <w:rFonts w:ascii="Times New Roman" w:hAnsi="Times New Roman"/>
            <w:b w:val="0"/>
            <w:noProof/>
            <w:sz w:val="24"/>
            <w:szCs w:val="24"/>
            <w:lang w:val="cs-CZ"/>
          </w:rPr>
          <w:t>Úkol č. 11</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_Toc39673339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30</w:t>
        </w:r>
        <w:r w:rsidR="0059330D" w:rsidRPr="00910504">
          <w:rPr>
            <w:rFonts w:ascii="Times New Roman" w:hAnsi="Times New Roman"/>
            <w:b w:val="0"/>
            <w:noProof/>
            <w:webHidden/>
            <w:sz w:val="24"/>
            <w:szCs w:val="24"/>
          </w:rPr>
          <w:fldChar w:fldCharType="end"/>
        </w:r>
      </w:hyperlink>
    </w:p>
    <w:p w14:paraId="4380A4E0" w14:textId="13883EFC"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40" w:history="1">
        <w:r w:rsidR="0059330D" w:rsidRPr="00910504">
          <w:rPr>
            <w:rStyle w:val="Hypertextovodkaz"/>
            <w:rFonts w:ascii="Times New Roman" w:hAnsi="Times New Roman"/>
            <w:b w:val="0"/>
            <w:noProof/>
            <w:sz w:val="24"/>
            <w:szCs w:val="24"/>
            <w:lang w:val="cs-CZ"/>
          </w:rPr>
          <w:t>Úkol č. 12</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_Toc39673340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31</w:t>
        </w:r>
        <w:r w:rsidR="0059330D" w:rsidRPr="00910504">
          <w:rPr>
            <w:rFonts w:ascii="Times New Roman" w:hAnsi="Times New Roman"/>
            <w:b w:val="0"/>
            <w:noProof/>
            <w:webHidden/>
            <w:sz w:val="24"/>
            <w:szCs w:val="24"/>
          </w:rPr>
          <w:fldChar w:fldCharType="end"/>
        </w:r>
      </w:hyperlink>
    </w:p>
    <w:p w14:paraId="394209C8" w14:textId="2B57F7FC"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41" w:history="1">
        <w:r w:rsidR="0059330D" w:rsidRPr="00910504">
          <w:rPr>
            <w:rStyle w:val="Hypertextovodkaz"/>
            <w:rFonts w:ascii="Times New Roman" w:hAnsi="Times New Roman"/>
            <w:b w:val="0"/>
            <w:noProof/>
            <w:sz w:val="24"/>
            <w:szCs w:val="24"/>
            <w:lang w:val="cs-CZ"/>
          </w:rPr>
          <w:t>Úkol č. 13</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_Toc39673341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33</w:t>
        </w:r>
        <w:r w:rsidR="0059330D" w:rsidRPr="00910504">
          <w:rPr>
            <w:rFonts w:ascii="Times New Roman" w:hAnsi="Times New Roman"/>
            <w:b w:val="0"/>
            <w:noProof/>
            <w:webHidden/>
            <w:sz w:val="24"/>
            <w:szCs w:val="24"/>
          </w:rPr>
          <w:fldChar w:fldCharType="end"/>
        </w:r>
      </w:hyperlink>
    </w:p>
    <w:p w14:paraId="357E006B" w14:textId="427D9C88"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42" w:history="1">
        <w:r w:rsidR="0059330D" w:rsidRPr="00910504">
          <w:rPr>
            <w:rStyle w:val="Hypertextovodkaz"/>
            <w:rFonts w:ascii="Times New Roman" w:hAnsi="Times New Roman"/>
            <w:b w:val="0"/>
            <w:noProof/>
            <w:sz w:val="24"/>
            <w:szCs w:val="24"/>
            <w:lang w:val="cs-CZ"/>
          </w:rPr>
          <w:t>Úkol č. 14</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_Toc39673342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34</w:t>
        </w:r>
        <w:r w:rsidR="0059330D" w:rsidRPr="00910504">
          <w:rPr>
            <w:rFonts w:ascii="Times New Roman" w:hAnsi="Times New Roman"/>
            <w:b w:val="0"/>
            <w:noProof/>
            <w:webHidden/>
            <w:sz w:val="24"/>
            <w:szCs w:val="24"/>
          </w:rPr>
          <w:fldChar w:fldCharType="end"/>
        </w:r>
      </w:hyperlink>
    </w:p>
    <w:p w14:paraId="3DE2DCA4" w14:textId="3C11D267"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43" w:history="1">
        <w:r w:rsidR="0059330D" w:rsidRPr="00910504">
          <w:rPr>
            <w:rStyle w:val="Hypertextovodkaz"/>
            <w:rFonts w:ascii="Times New Roman" w:hAnsi="Times New Roman"/>
            <w:b w:val="0"/>
            <w:noProof/>
            <w:sz w:val="24"/>
            <w:szCs w:val="24"/>
            <w:lang w:val="cs-CZ"/>
          </w:rPr>
          <w:t>Úkol č. 15</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_Toc39673343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36</w:t>
        </w:r>
        <w:r w:rsidR="0059330D" w:rsidRPr="00910504">
          <w:rPr>
            <w:rFonts w:ascii="Times New Roman" w:hAnsi="Times New Roman"/>
            <w:b w:val="0"/>
            <w:noProof/>
            <w:webHidden/>
            <w:sz w:val="24"/>
            <w:szCs w:val="24"/>
          </w:rPr>
          <w:fldChar w:fldCharType="end"/>
        </w:r>
      </w:hyperlink>
    </w:p>
    <w:p w14:paraId="43375C44" w14:textId="23F3C26A"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44" w:history="1">
        <w:r w:rsidR="0059330D" w:rsidRPr="00910504">
          <w:rPr>
            <w:rStyle w:val="Hypertextovodkaz"/>
            <w:rFonts w:ascii="Times New Roman" w:hAnsi="Times New Roman"/>
            <w:b w:val="0"/>
            <w:noProof/>
            <w:sz w:val="24"/>
            <w:szCs w:val="24"/>
            <w:lang w:val="cs-CZ"/>
          </w:rPr>
          <w:t>Úkol č. 16</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_Toc39673344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38</w:t>
        </w:r>
        <w:r w:rsidR="0059330D" w:rsidRPr="00910504">
          <w:rPr>
            <w:rFonts w:ascii="Times New Roman" w:hAnsi="Times New Roman"/>
            <w:b w:val="0"/>
            <w:noProof/>
            <w:webHidden/>
            <w:sz w:val="24"/>
            <w:szCs w:val="24"/>
          </w:rPr>
          <w:fldChar w:fldCharType="end"/>
        </w:r>
      </w:hyperlink>
    </w:p>
    <w:p w14:paraId="3DDB6AA1" w14:textId="235B30AF"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45" w:history="1">
        <w:r w:rsidR="0059330D" w:rsidRPr="00910504">
          <w:rPr>
            <w:rStyle w:val="Hypertextovodkaz"/>
            <w:rFonts w:ascii="Times New Roman" w:hAnsi="Times New Roman"/>
            <w:b w:val="0"/>
            <w:noProof/>
            <w:sz w:val="24"/>
            <w:szCs w:val="24"/>
            <w:lang w:val="cs-CZ"/>
          </w:rPr>
          <w:t>Úkol č. 17</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_Toc39673345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39</w:t>
        </w:r>
        <w:r w:rsidR="0059330D" w:rsidRPr="00910504">
          <w:rPr>
            <w:rFonts w:ascii="Times New Roman" w:hAnsi="Times New Roman"/>
            <w:b w:val="0"/>
            <w:noProof/>
            <w:webHidden/>
            <w:sz w:val="24"/>
            <w:szCs w:val="24"/>
          </w:rPr>
          <w:fldChar w:fldCharType="end"/>
        </w:r>
      </w:hyperlink>
    </w:p>
    <w:p w14:paraId="259678BC" w14:textId="26ED706D" w:rsidR="0059330D" w:rsidRPr="00910504" w:rsidRDefault="001E50F1">
      <w:pPr>
        <w:pStyle w:val="Obsah1"/>
        <w:tabs>
          <w:tab w:val="left" w:pos="480"/>
          <w:tab w:val="right" w:leader="dot" w:pos="9062"/>
        </w:tabs>
        <w:rPr>
          <w:rFonts w:ascii="Times New Roman" w:eastAsiaTheme="minorEastAsia" w:hAnsi="Times New Roman"/>
          <w:b w:val="0"/>
          <w:bCs w:val="0"/>
          <w:i w:val="0"/>
          <w:iCs w:val="0"/>
          <w:noProof/>
          <w:lang w:val="en-US" w:eastAsia="en-US"/>
        </w:rPr>
      </w:pPr>
      <w:hyperlink w:anchor="_Toc39673346" w:history="1">
        <w:r w:rsidR="0059330D" w:rsidRPr="00910504">
          <w:rPr>
            <w:rStyle w:val="Hypertextovodkaz"/>
            <w:rFonts w:ascii="Times New Roman" w:hAnsi="Times New Roman"/>
            <w:b w:val="0"/>
            <w:noProof/>
            <w:lang w:val="cs-CZ"/>
          </w:rPr>
          <w:t>5.</w:t>
        </w:r>
        <w:r w:rsidR="0059330D" w:rsidRPr="00910504">
          <w:rPr>
            <w:rFonts w:ascii="Times New Roman" w:eastAsiaTheme="minorEastAsia" w:hAnsi="Times New Roman"/>
            <w:b w:val="0"/>
            <w:bCs w:val="0"/>
            <w:i w:val="0"/>
            <w:iCs w:val="0"/>
            <w:noProof/>
            <w:lang w:val="en-US" w:eastAsia="en-US"/>
          </w:rPr>
          <w:tab/>
        </w:r>
        <w:r w:rsidR="0059330D" w:rsidRPr="00910504">
          <w:rPr>
            <w:rStyle w:val="Hypertextovodkaz"/>
            <w:rFonts w:ascii="Times New Roman" w:hAnsi="Times New Roman"/>
            <w:b w:val="0"/>
            <w:noProof/>
            <w:lang w:val="cs-CZ"/>
          </w:rPr>
          <w:t>Důstojnost a integrita žen ve vztahu k problematice WPS</w:t>
        </w:r>
        <w:r w:rsidR="0059330D" w:rsidRPr="00910504">
          <w:rPr>
            <w:rFonts w:ascii="Times New Roman" w:hAnsi="Times New Roman"/>
            <w:b w:val="0"/>
            <w:noProof/>
            <w:webHidden/>
          </w:rPr>
          <w:tab/>
        </w:r>
        <w:r w:rsidR="0059330D" w:rsidRPr="00910504">
          <w:rPr>
            <w:rFonts w:ascii="Times New Roman" w:hAnsi="Times New Roman"/>
            <w:b w:val="0"/>
            <w:noProof/>
            <w:webHidden/>
          </w:rPr>
          <w:fldChar w:fldCharType="begin"/>
        </w:r>
        <w:r w:rsidR="0059330D" w:rsidRPr="00910504">
          <w:rPr>
            <w:rFonts w:ascii="Times New Roman" w:hAnsi="Times New Roman"/>
            <w:b w:val="0"/>
            <w:noProof/>
            <w:webHidden/>
          </w:rPr>
          <w:instrText xml:space="preserve"> PAGEREF _Toc39673346 \h </w:instrText>
        </w:r>
        <w:r w:rsidR="0059330D" w:rsidRPr="00910504">
          <w:rPr>
            <w:rFonts w:ascii="Times New Roman" w:hAnsi="Times New Roman"/>
            <w:b w:val="0"/>
            <w:noProof/>
            <w:webHidden/>
          </w:rPr>
        </w:r>
        <w:r w:rsidR="0059330D" w:rsidRPr="00910504">
          <w:rPr>
            <w:rFonts w:ascii="Times New Roman" w:hAnsi="Times New Roman"/>
            <w:b w:val="0"/>
            <w:noProof/>
            <w:webHidden/>
          </w:rPr>
          <w:fldChar w:fldCharType="separate"/>
        </w:r>
        <w:r w:rsidR="004A6862">
          <w:rPr>
            <w:rFonts w:ascii="Times New Roman" w:hAnsi="Times New Roman"/>
            <w:b w:val="0"/>
            <w:noProof/>
            <w:webHidden/>
          </w:rPr>
          <w:t>41</w:t>
        </w:r>
        <w:r w:rsidR="0059330D" w:rsidRPr="00910504">
          <w:rPr>
            <w:rFonts w:ascii="Times New Roman" w:hAnsi="Times New Roman"/>
            <w:b w:val="0"/>
            <w:noProof/>
            <w:webHidden/>
          </w:rPr>
          <w:fldChar w:fldCharType="end"/>
        </w:r>
      </w:hyperlink>
    </w:p>
    <w:p w14:paraId="18A27A66" w14:textId="35672204"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47" w:history="1">
        <w:r w:rsidR="0059330D" w:rsidRPr="00910504">
          <w:rPr>
            <w:rStyle w:val="Hypertextovodkaz"/>
            <w:rFonts w:ascii="Times New Roman" w:hAnsi="Times New Roman"/>
            <w:b w:val="0"/>
            <w:noProof/>
            <w:sz w:val="24"/>
            <w:szCs w:val="24"/>
            <w:lang w:val="cs-CZ"/>
          </w:rPr>
          <w:t>Úkol č. 18</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_Toc39673347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41</w:t>
        </w:r>
        <w:r w:rsidR="0059330D" w:rsidRPr="00910504">
          <w:rPr>
            <w:rFonts w:ascii="Times New Roman" w:hAnsi="Times New Roman"/>
            <w:b w:val="0"/>
            <w:noProof/>
            <w:webHidden/>
            <w:sz w:val="24"/>
            <w:szCs w:val="24"/>
          </w:rPr>
          <w:fldChar w:fldCharType="end"/>
        </w:r>
      </w:hyperlink>
    </w:p>
    <w:p w14:paraId="2C3E5414" w14:textId="5D51913A"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48" w:history="1">
        <w:r w:rsidR="0059330D" w:rsidRPr="00910504">
          <w:rPr>
            <w:rStyle w:val="Hypertextovodkaz"/>
            <w:rFonts w:ascii="Times New Roman" w:hAnsi="Times New Roman"/>
            <w:b w:val="0"/>
            <w:noProof/>
            <w:sz w:val="24"/>
            <w:szCs w:val="24"/>
            <w:lang w:val="cs-CZ"/>
          </w:rPr>
          <w:t>Úkol č. 19</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_Toc39673348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42</w:t>
        </w:r>
        <w:r w:rsidR="0059330D" w:rsidRPr="00910504">
          <w:rPr>
            <w:rFonts w:ascii="Times New Roman" w:hAnsi="Times New Roman"/>
            <w:b w:val="0"/>
            <w:noProof/>
            <w:webHidden/>
            <w:sz w:val="24"/>
            <w:szCs w:val="24"/>
          </w:rPr>
          <w:fldChar w:fldCharType="end"/>
        </w:r>
      </w:hyperlink>
    </w:p>
    <w:p w14:paraId="6E2C3F81" w14:textId="54BE4777"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49" w:history="1">
        <w:r w:rsidR="0059330D" w:rsidRPr="00910504">
          <w:rPr>
            <w:rStyle w:val="Hypertextovodkaz"/>
            <w:rFonts w:ascii="Times New Roman" w:hAnsi="Times New Roman"/>
            <w:b w:val="0"/>
            <w:noProof/>
            <w:sz w:val="24"/>
            <w:szCs w:val="24"/>
            <w:lang w:val="cs-CZ"/>
          </w:rPr>
          <w:t>Úkol č. 20</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_Toc39673349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43</w:t>
        </w:r>
        <w:r w:rsidR="0059330D" w:rsidRPr="00910504">
          <w:rPr>
            <w:rFonts w:ascii="Times New Roman" w:hAnsi="Times New Roman"/>
            <w:b w:val="0"/>
            <w:noProof/>
            <w:webHidden/>
            <w:sz w:val="24"/>
            <w:szCs w:val="24"/>
          </w:rPr>
          <w:fldChar w:fldCharType="end"/>
        </w:r>
      </w:hyperlink>
    </w:p>
    <w:p w14:paraId="328D3991" w14:textId="0164462E" w:rsidR="0059330D" w:rsidRPr="00910504" w:rsidRDefault="001E50F1">
      <w:pPr>
        <w:pStyle w:val="Obsah1"/>
        <w:tabs>
          <w:tab w:val="left" w:pos="480"/>
          <w:tab w:val="right" w:leader="dot" w:pos="9062"/>
        </w:tabs>
        <w:rPr>
          <w:rFonts w:ascii="Times New Roman" w:eastAsiaTheme="minorEastAsia" w:hAnsi="Times New Roman"/>
          <w:b w:val="0"/>
          <w:bCs w:val="0"/>
          <w:i w:val="0"/>
          <w:iCs w:val="0"/>
          <w:noProof/>
          <w:lang w:val="en-US" w:eastAsia="en-US"/>
        </w:rPr>
      </w:pPr>
      <w:hyperlink w:anchor="_Toc39673350" w:history="1">
        <w:r w:rsidR="0059330D" w:rsidRPr="00910504">
          <w:rPr>
            <w:rStyle w:val="Hypertextovodkaz"/>
            <w:rFonts w:ascii="Times New Roman" w:hAnsi="Times New Roman"/>
            <w:b w:val="0"/>
            <w:noProof/>
            <w:lang w:val="cs-CZ"/>
          </w:rPr>
          <w:t>6.</w:t>
        </w:r>
        <w:r w:rsidR="0059330D" w:rsidRPr="00910504">
          <w:rPr>
            <w:rFonts w:ascii="Times New Roman" w:eastAsiaTheme="minorEastAsia" w:hAnsi="Times New Roman"/>
            <w:b w:val="0"/>
            <w:bCs w:val="0"/>
            <w:i w:val="0"/>
            <w:iCs w:val="0"/>
            <w:noProof/>
            <w:lang w:val="en-US" w:eastAsia="en-US"/>
          </w:rPr>
          <w:tab/>
        </w:r>
        <w:r w:rsidR="0059330D" w:rsidRPr="00910504">
          <w:rPr>
            <w:rStyle w:val="Hypertextovodkaz"/>
            <w:rFonts w:ascii="Times New Roman" w:hAnsi="Times New Roman"/>
            <w:b w:val="0"/>
            <w:noProof/>
            <w:lang w:val="cs-CZ"/>
          </w:rPr>
          <w:t>Agenda WPS a současné globální výzvy</w:t>
        </w:r>
        <w:r w:rsidR="0059330D" w:rsidRPr="00910504">
          <w:rPr>
            <w:rFonts w:ascii="Times New Roman" w:hAnsi="Times New Roman"/>
            <w:b w:val="0"/>
            <w:noProof/>
            <w:webHidden/>
          </w:rPr>
          <w:tab/>
        </w:r>
        <w:r w:rsidR="0059330D" w:rsidRPr="00910504">
          <w:rPr>
            <w:rFonts w:ascii="Times New Roman" w:hAnsi="Times New Roman"/>
            <w:b w:val="0"/>
            <w:noProof/>
            <w:webHidden/>
          </w:rPr>
          <w:fldChar w:fldCharType="begin"/>
        </w:r>
        <w:r w:rsidR="0059330D" w:rsidRPr="00910504">
          <w:rPr>
            <w:rFonts w:ascii="Times New Roman" w:hAnsi="Times New Roman"/>
            <w:b w:val="0"/>
            <w:noProof/>
            <w:webHidden/>
          </w:rPr>
          <w:instrText xml:space="preserve"> PAGEREF _Toc39673350 \h </w:instrText>
        </w:r>
        <w:r w:rsidR="0059330D" w:rsidRPr="00910504">
          <w:rPr>
            <w:rFonts w:ascii="Times New Roman" w:hAnsi="Times New Roman"/>
            <w:b w:val="0"/>
            <w:noProof/>
            <w:webHidden/>
          </w:rPr>
        </w:r>
        <w:r w:rsidR="0059330D" w:rsidRPr="00910504">
          <w:rPr>
            <w:rFonts w:ascii="Times New Roman" w:hAnsi="Times New Roman"/>
            <w:b w:val="0"/>
            <w:noProof/>
            <w:webHidden/>
          </w:rPr>
          <w:fldChar w:fldCharType="separate"/>
        </w:r>
        <w:r w:rsidR="004A6862">
          <w:rPr>
            <w:rFonts w:ascii="Times New Roman" w:hAnsi="Times New Roman"/>
            <w:b w:val="0"/>
            <w:noProof/>
            <w:webHidden/>
          </w:rPr>
          <w:t>44</w:t>
        </w:r>
        <w:r w:rsidR="0059330D" w:rsidRPr="00910504">
          <w:rPr>
            <w:rFonts w:ascii="Times New Roman" w:hAnsi="Times New Roman"/>
            <w:b w:val="0"/>
            <w:noProof/>
            <w:webHidden/>
          </w:rPr>
          <w:fldChar w:fldCharType="end"/>
        </w:r>
      </w:hyperlink>
    </w:p>
    <w:p w14:paraId="6EE63355" w14:textId="31428719"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51" w:history="1">
        <w:r w:rsidR="0059330D" w:rsidRPr="00910504">
          <w:rPr>
            <w:rStyle w:val="Hypertextovodkaz"/>
            <w:rFonts w:ascii="Times New Roman" w:hAnsi="Times New Roman"/>
            <w:b w:val="0"/>
            <w:noProof/>
            <w:sz w:val="24"/>
            <w:szCs w:val="24"/>
            <w:lang w:val="cs-CZ"/>
          </w:rPr>
          <w:t>Úkol č. 21</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_Toc39673351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44</w:t>
        </w:r>
        <w:r w:rsidR="0059330D" w:rsidRPr="00910504">
          <w:rPr>
            <w:rFonts w:ascii="Times New Roman" w:hAnsi="Times New Roman"/>
            <w:b w:val="0"/>
            <w:noProof/>
            <w:webHidden/>
            <w:sz w:val="24"/>
            <w:szCs w:val="24"/>
          </w:rPr>
          <w:fldChar w:fldCharType="end"/>
        </w:r>
      </w:hyperlink>
    </w:p>
    <w:p w14:paraId="104C44E9" w14:textId="68194426"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52" w:history="1">
        <w:r w:rsidR="0059330D" w:rsidRPr="00910504">
          <w:rPr>
            <w:rStyle w:val="Hypertextovodkaz"/>
            <w:rFonts w:ascii="Times New Roman" w:hAnsi="Times New Roman"/>
            <w:b w:val="0"/>
            <w:noProof/>
            <w:sz w:val="24"/>
            <w:szCs w:val="24"/>
            <w:lang w:val="cs-CZ"/>
          </w:rPr>
          <w:t>Úkol č. 22</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_Toc39673352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45</w:t>
        </w:r>
        <w:r w:rsidR="0059330D" w:rsidRPr="00910504">
          <w:rPr>
            <w:rFonts w:ascii="Times New Roman" w:hAnsi="Times New Roman"/>
            <w:b w:val="0"/>
            <w:noProof/>
            <w:webHidden/>
            <w:sz w:val="24"/>
            <w:szCs w:val="24"/>
          </w:rPr>
          <w:fldChar w:fldCharType="end"/>
        </w:r>
      </w:hyperlink>
    </w:p>
    <w:p w14:paraId="58FC4A07" w14:textId="548DC093" w:rsidR="0059330D" w:rsidRPr="00910504" w:rsidRDefault="001E50F1">
      <w:pPr>
        <w:pStyle w:val="Obsah1"/>
        <w:tabs>
          <w:tab w:val="left" w:pos="480"/>
          <w:tab w:val="right" w:leader="dot" w:pos="9062"/>
        </w:tabs>
        <w:rPr>
          <w:rFonts w:ascii="Times New Roman" w:eastAsiaTheme="minorEastAsia" w:hAnsi="Times New Roman"/>
          <w:b w:val="0"/>
          <w:bCs w:val="0"/>
          <w:i w:val="0"/>
          <w:iCs w:val="0"/>
          <w:noProof/>
          <w:lang w:val="en-US" w:eastAsia="en-US"/>
        </w:rPr>
      </w:pPr>
      <w:hyperlink w:anchor="_Toc39673353" w:history="1">
        <w:r w:rsidR="0059330D" w:rsidRPr="00910504">
          <w:rPr>
            <w:rStyle w:val="Hypertextovodkaz"/>
            <w:rFonts w:ascii="Times New Roman" w:hAnsi="Times New Roman"/>
            <w:b w:val="0"/>
            <w:noProof/>
            <w:lang w:val="cs-CZ"/>
          </w:rPr>
          <w:t>7.</w:t>
        </w:r>
        <w:r w:rsidR="0059330D" w:rsidRPr="00910504">
          <w:rPr>
            <w:rFonts w:ascii="Times New Roman" w:eastAsiaTheme="minorEastAsia" w:hAnsi="Times New Roman"/>
            <w:b w:val="0"/>
            <w:bCs w:val="0"/>
            <w:i w:val="0"/>
            <w:iCs w:val="0"/>
            <w:noProof/>
            <w:lang w:val="en-US" w:eastAsia="en-US"/>
          </w:rPr>
          <w:tab/>
        </w:r>
        <w:r w:rsidR="0059330D" w:rsidRPr="00910504">
          <w:rPr>
            <w:rStyle w:val="Hypertextovodkaz"/>
            <w:rFonts w:ascii="Times New Roman" w:hAnsi="Times New Roman"/>
            <w:b w:val="0"/>
            <w:noProof/>
            <w:lang w:val="cs-CZ"/>
          </w:rPr>
          <w:t>Institucionální zabezpečení rovnosti žen a mužů ve vztahu k Agendě WPS</w:t>
        </w:r>
        <w:r w:rsidR="0059330D" w:rsidRPr="00910504">
          <w:rPr>
            <w:rFonts w:ascii="Times New Roman" w:hAnsi="Times New Roman"/>
            <w:b w:val="0"/>
            <w:noProof/>
            <w:webHidden/>
          </w:rPr>
          <w:tab/>
        </w:r>
        <w:r w:rsidR="0059330D" w:rsidRPr="00910504">
          <w:rPr>
            <w:rFonts w:ascii="Times New Roman" w:hAnsi="Times New Roman"/>
            <w:b w:val="0"/>
            <w:noProof/>
            <w:webHidden/>
          </w:rPr>
          <w:fldChar w:fldCharType="begin"/>
        </w:r>
        <w:r w:rsidR="0059330D" w:rsidRPr="00910504">
          <w:rPr>
            <w:rFonts w:ascii="Times New Roman" w:hAnsi="Times New Roman"/>
            <w:b w:val="0"/>
            <w:noProof/>
            <w:webHidden/>
          </w:rPr>
          <w:instrText xml:space="preserve"> PAGEREF _Toc39673353 \h </w:instrText>
        </w:r>
        <w:r w:rsidR="0059330D" w:rsidRPr="00910504">
          <w:rPr>
            <w:rFonts w:ascii="Times New Roman" w:hAnsi="Times New Roman"/>
            <w:b w:val="0"/>
            <w:noProof/>
            <w:webHidden/>
          </w:rPr>
        </w:r>
        <w:r w:rsidR="0059330D" w:rsidRPr="00910504">
          <w:rPr>
            <w:rFonts w:ascii="Times New Roman" w:hAnsi="Times New Roman"/>
            <w:b w:val="0"/>
            <w:noProof/>
            <w:webHidden/>
          </w:rPr>
          <w:fldChar w:fldCharType="separate"/>
        </w:r>
        <w:r w:rsidR="004A6862">
          <w:rPr>
            <w:rFonts w:ascii="Times New Roman" w:hAnsi="Times New Roman"/>
            <w:b w:val="0"/>
            <w:noProof/>
            <w:webHidden/>
          </w:rPr>
          <w:t>46</w:t>
        </w:r>
        <w:r w:rsidR="0059330D" w:rsidRPr="00910504">
          <w:rPr>
            <w:rFonts w:ascii="Times New Roman" w:hAnsi="Times New Roman"/>
            <w:b w:val="0"/>
            <w:noProof/>
            <w:webHidden/>
          </w:rPr>
          <w:fldChar w:fldCharType="end"/>
        </w:r>
      </w:hyperlink>
    </w:p>
    <w:p w14:paraId="61B0CEE6" w14:textId="6CBDEA01"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54" w:history="1">
        <w:r w:rsidR="0059330D" w:rsidRPr="00910504">
          <w:rPr>
            <w:rStyle w:val="Hypertextovodkaz"/>
            <w:rFonts w:ascii="Times New Roman" w:hAnsi="Times New Roman"/>
            <w:b w:val="0"/>
            <w:noProof/>
            <w:sz w:val="24"/>
            <w:szCs w:val="24"/>
            <w:lang w:val="cs-CZ"/>
          </w:rPr>
          <w:t>Úkol č. 23</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_Toc39673354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46</w:t>
        </w:r>
        <w:r w:rsidR="0059330D" w:rsidRPr="00910504">
          <w:rPr>
            <w:rFonts w:ascii="Times New Roman" w:hAnsi="Times New Roman"/>
            <w:b w:val="0"/>
            <w:noProof/>
            <w:webHidden/>
            <w:sz w:val="24"/>
            <w:szCs w:val="24"/>
          </w:rPr>
          <w:fldChar w:fldCharType="end"/>
        </w:r>
      </w:hyperlink>
    </w:p>
    <w:p w14:paraId="56FE3E05" w14:textId="0F271788"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55" w:history="1">
        <w:r w:rsidR="0059330D" w:rsidRPr="00910504">
          <w:rPr>
            <w:rStyle w:val="Hypertextovodkaz"/>
            <w:rFonts w:ascii="Times New Roman" w:hAnsi="Times New Roman"/>
            <w:b w:val="0"/>
            <w:noProof/>
            <w:sz w:val="24"/>
            <w:szCs w:val="24"/>
            <w:lang w:val="cs-CZ"/>
          </w:rPr>
          <w:t>Úkol č. 24</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_Toc39673355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48</w:t>
        </w:r>
        <w:r w:rsidR="0059330D" w:rsidRPr="00910504">
          <w:rPr>
            <w:rFonts w:ascii="Times New Roman" w:hAnsi="Times New Roman"/>
            <w:b w:val="0"/>
            <w:noProof/>
            <w:webHidden/>
            <w:sz w:val="24"/>
            <w:szCs w:val="24"/>
          </w:rPr>
          <w:fldChar w:fldCharType="end"/>
        </w:r>
      </w:hyperlink>
    </w:p>
    <w:p w14:paraId="729E384E" w14:textId="48643375" w:rsidR="0059330D" w:rsidRPr="00910504" w:rsidRDefault="001E50F1">
      <w:pPr>
        <w:pStyle w:val="Obsah2"/>
        <w:tabs>
          <w:tab w:val="right" w:leader="dot" w:pos="9062"/>
        </w:tabs>
        <w:rPr>
          <w:rFonts w:ascii="Times New Roman" w:eastAsiaTheme="minorEastAsia" w:hAnsi="Times New Roman"/>
          <w:b w:val="0"/>
          <w:bCs w:val="0"/>
          <w:noProof/>
          <w:sz w:val="24"/>
          <w:szCs w:val="24"/>
          <w:lang w:val="en-US" w:eastAsia="en-US"/>
        </w:rPr>
      </w:pPr>
      <w:hyperlink w:anchor="_Toc39673356" w:history="1">
        <w:r w:rsidR="0059330D" w:rsidRPr="00910504">
          <w:rPr>
            <w:rStyle w:val="Hypertextovodkaz"/>
            <w:rFonts w:ascii="Times New Roman" w:hAnsi="Times New Roman"/>
            <w:b w:val="0"/>
            <w:noProof/>
            <w:sz w:val="24"/>
            <w:szCs w:val="24"/>
            <w:lang w:val="cs-CZ"/>
          </w:rPr>
          <w:t>Úkol č. 25</w:t>
        </w:r>
        <w:r w:rsidR="0059330D" w:rsidRPr="00910504">
          <w:rPr>
            <w:rFonts w:ascii="Times New Roman" w:hAnsi="Times New Roman"/>
            <w:b w:val="0"/>
            <w:noProof/>
            <w:webHidden/>
            <w:sz w:val="24"/>
            <w:szCs w:val="24"/>
          </w:rPr>
          <w:tab/>
        </w:r>
        <w:r w:rsidR="0059330D" w:rsidRPr="00910504">
          <w:rPr>
            <w:rFonts w:ascii="Times New Roman" w:hAnsi="Times New Roman"/>
            <w:b w:val="0"/>
            <w:noProof/>
            <w:webHidden/>
            <w:sz w:val="24"/>
            <w:szCs w:val="24"/>
          </w:rPr>
          <w:fldChar w:fldCharType="begin"/>
        </w:r>
        <w:r w:rsidR="0059330D" w:rsidRPr="00910504">
          <w:rPr>
            <w:rFonts w:ascii="Times New Roman" w:hAnsi="Times New Roman"/>
            <w:b w:val="0"/>
            <w:noProof/>
            <w:webHidden/>
            <w:sz w:val="24"/>
            <w:szCs w:val="24"/>
          </w:rPr>
          <w:instrText xml:space="preserve"> PAGEREF _Toc39673356 \h </w:instrText>
        </w:r>
        <w:r w:rsidR="0059330D" w:rsidRPr="00910504">
          <w:rPr>
            <w:rFonts w:ascii="Times New Roman" w:hAnsi="Times New Roman"/>
            <w:b w:val="0"/>
            <w:noProof/>
            <w:webHidden/>
            <w:sz w:val="24"/>
            <w:szCs w:val="24"/>
          </w:rPr>
        </w:r>
        <w:r w:rsidR="0059330D" w:rsidRPr="00910504">
          <w:rPr>
            <w:rFonts w:ascii="Times New Roman" w:hAnsi="Times New Roman"/>
            <w:b w:val="0"/>
            <w:noProof/>
            <w:webHidden/>
            <w:sz w:val="24"/>
            <w:szCs w:val="24"/>
          </w:rPr>
          <w:fldChar w:fldCharType="separate"/>
        </w:r>
        <w:r w:rsidR="004A6862">
          <w:rPr>
            <w:rFonts w:ascii="Times New Roman" w:hAnsi="Times New Roman"/>
            <w:b w:val="0"/>
            <w:noProof/>
            <w:webHidden/>
            <w:sz w:val="24"/>
            <w:szCs w:val="24"/>
          </w:rPr>
          <w:t>48</w:t>
        </w:r>
        <w:r w:rsidR="0059330D" w:rsidRPr="00910504">
          <w:rPr>
            <w:rFonts w:ascii="Times New Roman" w:hAnsi="Times New Roman"/>
            <w:b w:val="0"/>
            <w:noProof/>
            <w:webHidden/>
            <w:sz w:val="24"/>
            <w:szCs w:val="24"/>
          </w:rPr>
          <w:fldChar w:fldCharType="end"/>
        </w:r>
      </w:hyperlink>
    </w:p>
    <w:p w14:paraId="3AE2F728" w14:textId="541F90DB" w:rsidR="0059330D" w:rsidRPr="00910504" w:rsidRDefault="001E50F1">
      <w:pPr>
        <w:pStyle w:val="Obsah1"/>
        <w:tabs>
          <w:tab w:val="right" w:leader="dot" w:pos="9062"/>
        </w:tabs>
        <w:rPr>
          <w:rFonts w:ascii="Times New Roman" w:eastAsiaTheme="minorEastAsia" w:hAnsi="Times New Roman"/>
          <w:b w:val="0"/>
          <w:bCs w:val="0"/>
          <w:i w:val="0"/>
          <w:iCs w:val="0"/>
          <w:noProof/>
          <w:lang w:val="en-US" w:eastAsia="en-US"/>
        </w:rPr>
      </w:pPr>
      <w:hyperlink w:anchor="_Toc39673357" w:history="1">
        <w:r w:rsidR="0059330D" w:rsidRPr="00910504">
          <w:rPr>
            <w:rStyle w:val="Hypertextovodkaz"/>
            <w:rFonts w:ascii="Times New Roman" w:hAnsi="Times New Roman"/>
            <w:b w:val="0"/>
            <w:noProof/>
            <w:lang w:val="cs-CZ"/>
          </w:rPr>
          <w:t>Seznam zkratek</w:t>
        </w:r>
        <w:r w:rsidR="0059330D" w:rsidRPr="00910504">
          <w:rPr>
            <w:rFonts w:ascii="Times New Roman" w:hAnsi="Times New Roman"/>
            <w:b w:val="0"/>
            <w:noProof/>
            <w:webHidden/>
          </w:rPr>
          <w:tab/>
        </w:r>
        <w:r w:rsidR="0059330D" w:rsidRPr="00910504">
          <w:rPr>
            <w:rFonts w:ascii="Times New Roman" w:hAnsi="Times New Roman"/>
            <w:b w:val="0"/>
            <w:noProof/>
            <w:webHidden/>
          </w:rPr>
          <w:fldChar w:fldCharType="begin"/>
        </w:r>
        <w:r w:rsidR="0059330D" w:rsidRPr="00910504">
          <w:rPr>
            <w:rFonts w:ascii="Times New Roman" w:hAnsi="Times New Roman"/>
            <w:b w:val="0"/>
            <w:noProof/>
            <w:webHidden/>
          </w:rPr>
          <w:instrText xml:space="preserve"> PAGEREF _Toc39673357 \h </w:instrText>
        </w:r>
        <w:r w:rsidR="0059330D" w:rsidRPr="00910504">
          <w:rPr>
            <w:rFonts w:ascii="Times New Roman" w:hAnsi="Times New Roman"/>
            <w:b w:val="0"/>
            <w:noProof/>
            <w:webHidden/>
          </w:rPr>
        </w:r>
        <w:r w:rsidR="0059330D" w:rsidRPr="00910504">
          <w:rPr>
            <w:rFonts w:ascii="Times New Roman" w:hAnsi="Times New Roman"/>
            <w:b w:val="0"/>
            <w:noProof/>
            <w:webHidden/>
          </w:rPr>
          <w:fldChar w:fldCharType="separate"/>
        </w:r>
        <w:r w:rsidR="004A6862">
          <w:rPr>
            <w:rFonts w:ascii="Times New Roman" w:hAnsi="Times New Roman"/>
            <w:b w:val="0"/>
            <w:noProof/>
            <w:webHidden/>
          </w:rPr>
          <w:t>52</w:t>
        </w:r>
        <w:r w:rsidR="0059330D" w:rsidRPr="00910504">
          <w:rPr>
            <w:rFonts w:ascii="Times New Roman" w:hAnsi="Times New Roman"/>
            <w:b w:val="0"/>
            <w:noProof/>
            <w:webHidden/>
          </w:rPr>
          <w:fldChar w:fldCharType="end"/>
        </w:r>
      </w:hyperlink>
    </w:p>
    <w:p w14:paraId="2DD5399D" w14:textId="2669CD60" w:rsidR="007B1DB0" w:rsidRPr="00C42789" w:rsidRDefault="00413262" w:rsidP="007B1DB0">
      <w:pPr>
        <w:rPr>
          <w:rFonts w:ascii="Georgia" w:hAnsi="Georgia" w:cs="Arial"/>
          <w:bCs/>
          <w:noProof/>
          <w:sz w:val="22"/>
          <w:szCs w:val="22"/>
          <w:lang w:val="cs-CZ"/>
        </w:rPr>
      </w:pPr>
      <w:r w:rsidRPr="00910504">
        <w:rPr>
          <w:bCs/>
          <w:noProof/>
          <w:lang w:val="cs-CZ"/>
        </w:rPr>
        <w:fldChar w:fldCharType="end"/>
      </w:r>
    </w:p>
    <w:p w14:paraId="7850742E" w14:textId="77777777" w:rsidR="00A11983" w:rsidRDefault="00A11983" w:rsidP="005B4495">
      <w:pPr>
        <w:pStyle w:val="Nzev"/>
        <w:pBdr>
          <w:bottom w:val="single" w:sz="4" w:space="1" w:color="4F81BD"/>
        </w:pBdr>
        <w:spacing w:before="120" w:after="120" w:line="276" w:lineRule="auto"/>
        <w:jc w:val="both"/>
        <w:rPr>
          <w:rFonts w:ascii="Times New Roman" w:hAnsi="Times New Roman"/>
          <w:color w:val="2F5496" w:themeColor="accent1" w:themeShade="BF"/>
          <w:sz w:val="28"/>
          <w:szCs w:val="28"/>
          <w:lang w:val="cs-CZ"/>
        </w:rPr>
      </w:pPr>
      <w:bookmarkStart w:id="2" w:name="_Toc39673324"/>
    </w:p>
    <w:p w14:paraId="48D9C9F0" w14:textId="5B4B718F" w:rsidR="003C13E8" w:rsidRPr="00A11983" w:rsidRDefault="00052CA2" w:rsidP="009E6013">
      <w:pPr>
        <w:pStyle w:val="Nzev"/>
        <w:pageBreakBefore/>
        <w:pBdr>
          <w:bottom w:val="single" w:sz="4" w:space="1" w:color="4F81BD"/>
        </w:pBdr>
        <w:spacing w:before="120" w:after="120" w:line="276" w:lineRule="auto"/>
        <w:jc w:val="both"/>
        <w:rPr>
          <w:rFonts w:ascii="Times New Roman" w:hAnsi="Times New Roman"/>
          <w:color w:val="2F5496" w:themeColor="accent1" w:themeShade="BF"/>
          <w:sz w:val="28"/>
          <w:szCs w:val="28"/>
          <w:lang w:val="cs-CZ"/>
        </w:rPr>
      </w:pPr>
      <w:r w:rsidRPr="00A11983">
        <w:rPr>
          <w:rFonts w:ascii="Times New Roman" w:hAnsi="Times New Roman"/>
          <w:color w:val="2F5496" w:themeColor="accent1" w:themeShade="BF"/>
          <w:sz w:val="28"/>
          <w:szCs w:val="28"/>
          <w:lang w:val="cs-CZ"/>
        </w:rPr>
        <w:lastRenderedPageBreak/>
        <w:t>Úvod</w:t>
      </w:r>
      <w:bookmarkEnd w:id="2"/>
    </w:p>
    <w:p w14:paraId="6624E7C8" w14:textId="692F587C" w:rsidR="00BD0654" w:rsidRPr="00A11983" w:rsidRDefault="00DD6645" w:rsidP="009E6013">
      <w:pPr>
        <w:snapToGrid w:val="0"/>
        <w:spacing w:before="120" w:after="120"/>
        <w:jc w:val="both"/>
        <w:rPr>
          <w:lang w:val="cs-CZ"/>
        </w:rPr>
      </w:pPr>
      <w:r w:rsidRPr="00A11983">
        <w:rPr>
          <w:lang w:val="cs-CZ"/>
        </w:rPr>
        <w:t xml:space="preserve">Dne 9. ledna 2017 byl vládou ČR </w:t>
      </w:r>
      <w:r w:rsidR="00AE0FFE" w:rsidRPr="00A11983">
        <w:rPr>
          <w:lang w:val="cs-CZ"/>
        </w:rPr>
        <w:t xml:space="preserve">přijat </w:t>
      </w:r>
      <w:r w:rsidR="003C13E8" w:rsidRPr="00A11983">
        <w:rPr>
          <w:lang w:val="cs-CZ"/>
        </w:rPr>
        <w:t>Akční plán České republiky k implementaci rezoluce Rady bezpečnosti OSN č. 1325 (2000), o ženách, míru</w:t>
      </w:r>
      <w:r w:rsidR="00BD0654" w:rsidRPr="00A11983">
        <w:rPr>
          <w:lang w:val="cs-CZ"/>
        </w:rPr>
        <w:t xml:space="preserve"> a bezpečnosti (dále jen „Akční plán k A</w:t>
      </w:r>
      <w:r w:rsidR="003C13E8" w:rsidRPr="00A11983">
        <w:rPr>
          <w:lang w:val="cs-CZ"/>
        </w:rPr>
        <w:t>gendě WPS“</w:t>
      </w:r>
      <w:r w:rsidR="002576B2" w:rsidRPr="00A11983">
        <w:rPr>
          <w:lang w:val="cs-CZ"/>
        </w:rPr>
        <w:t>, „AP k Agendě WPS“</w:t>
      </w:r>
      <w:r w:rsidR="003C13E8" w:rsidRPr="00A11983">
        <w:rPr>
          <w:lang w:val="cs-CZ"/>
        </w:rPr>
        <w:t xml:space="preserve">). </w:t>
      </w:r>
      <w:r w:rsidR="00BD0654" w:rsidRPr="00A11983">
        <w:rPr>
          <w:bCs/>
          <w:kern w:val="32"/>
          <w:lang w:val="cs-CZ"/>
        </w:rPr>
        <w:t>Akční plán k A</w:t>
      </w:r>
      <w:r w:rsidR="006A7D99" w:rsidRPr="00A11983">
        <w:rPr>
          <w:bCs/>
          <w:kern w:val="32"/>
          <w:lang w:val="cs-CZ"/>
        </w:rPr>
        <w:t xml:space="preserve">gendě WPS </w:t>
      </w:r>
      <w:r w:rsidR="004A0595">
        <w:rPr>
          <w:bCs/>
          <w:kern w:val="32"/>
          <w:lang w:val="cs-CZ"/>
        </w:rPr>
        <w:t>vytváří</w:t>
      </w:r>
      <w:r w:rsidR="006A7D99" w:rsidRPr="00A11983">
        <w:rPr>
          <w:bCs/>
          <w:kern w:val="32"/>
          <w:lang w:val="cs-CZ"/>
        </w:rPr>
        <w:t xml:space="preserve"> rámec, který stanovuje konkrétní opatření vedoucí k naplňování předmětných rezolucí Rady bezpečnosti OSN Českou republikou. </w:t>
      </w:r>
      <w:r w:rsidR="009F097E" w:rsidRPr="00A11983">
        <w:rPr>
          <w:lang w:val="cs-CZ"/>
        </w:rPr>
        <w:t xml:space="preserve">ČR je jedním z </w:t>
      </w:r>
      <w:r w:rsidR="007E0B2E" w:rsidRPr="00A11983">
        <w:rPr>
          <w:lang w:val="cs-CZ"/>
        </w:rPr>
        <w:t>89</w:t>
      </w:r>
      <w:r w:rsidR="009F097E" w:rsidRPr="00A11983">
        <w:rPr>
          <w:lang w:val="cs-CZ"/>
        </w:rPr>
        <w:t xml:space="preserve"> států, který představil AP k </w:t>
      </w:r>
      <w:r w:rsidR="004B3380" w:rsidRPr="00A11983">
        <w:rPr>
          <w:lang w:val="cs-CZ"/>
        </w:rPr>
        <w:t>A</w:t>
      </w:r>
      <w:r w:rsidR="009F097E" w:rsidRPr="00A11983">
        <w:rPr>
          <w:lang w:val="cs-CZ"/>
        </w:rPr>
        <w:t>gendě WPS.</w:t>
      </w:r>
      <w:r w:rsidR="002576B2" w:rsidRPr="00A11983">
        <w:rPr>
          <w:rStyle w:val="Znakapoznpodarou"/>
          <w:lang w:val="cs-CZ"/>
        </w:rPr>
        <w:t xml:space="preserve"> </w:t>
      </w:r>
      <w:r w:rsidR="002576B2" w:rsidRPr="00A11983">
        <w:rPr>
          <w:rStyle w:val="Znakapoznpodarou"/>
          <w:lang w:val="cs-CZ"/>
        </w:rPr>
        <w:footnoteReference w:id="1"/>
      </w:r>
      <w:r w:rsidR="009F097E" w:rsidRPr="00A11983">
        <w:rPr>
          <w:lang w:val="cs-CZ"/>
        </w:rPr>
        <w:t xml:space="preserve"> </w:t>
      </w:r>
    </w:p>
    <w:p w14:paraId="30DCDD91" w14:textId="255F3D51" w:rsidR="006A7D99" w:rsidRPr="00A11983" w:rsidRDefault="00C60624" w:rsidP="009E6013">
      <w:pPr>
        <w:snapToGrid w:val="0"/>
        <w:spacing w:before="120" w:after="120"/>
        <w:jc w:val="both"/>
        <w:rPr>
          <w:highlight w:val="yellow"/>
          <w:lang w:val="cs-CZ"/>
        </w:rPr>
      </w:pPr>
      <w:r w:rsidRPr="00A11983">
        <w:rPr>
          <w:lang w:val="cs-CZ"/>
        </w:rPr>
        <w:t xml:space="preserve">Přijetím AP k </w:t>
      </w:r>
      <w:r w:rsidR="004B3380" w:rsidRPr="00A11983">
        <w:rPr>
          <w:lang w:val="cs-CZ"/>
        </w:rPr>
        <w:t>A</w:t>
      </w:r>
      <w:r w:rsidRPr="00A11983">
        <w:rPr>
          <w:lang w:val="cs-CZ"/>
        </w:rPr>
        <w:t xml:space="preserve">gendě WPS si Ministerstva </w:t>
      </w:r>
      <w:r w:rsidR="00B56E4D" w:rsidRPr="00A11983">
        <w:rPr>
          <w:lang w:val="cs-CZ"/>
        </w:rPr>
        <w:t>zahraničních věcí</w:t>
      </w:r>
      <w:r w:rsidR="004655CB" w:rsidRPr="00A11983">
        <w:rPr>
          <w:lang w:val="cs-CZ"/>
        </w:rPr>
        <w:t xml:space="preserve"> (MZV)</w:t>
      </w:r>
      <w:r w:rsidRPr="00A11983">
        <w:rPr>
          <w:lang w:val="cs-CZ"/>
        </w:rPr>
        <w:t>, obrany</w:t>
      </w:r>
      <w:r w:rsidR="004655CB" w:rsidRPr="00A11983">
        <w:rPr>
          <w:lang w:val="cs-CZ"/>
        </w:rPr>
        <w:t xml:space="preserve"> (MO)</w:t>
      </w:r>
      <w:r w:rsidRPr="00A11983">
        <w:rPr>
          <w:lang w:val="cs-CZ"/>
        </w:rPr>
        <w:t>, vnitra</w:t>
      </w:r>
      <w:r w:rsidR="004655CB" w:rsidRPr="00A11983">
        <w:rPr>
          <w:lang w:val="cs-CZ"/>
        </w:rPr>
        <w:t xml:space="preserve"> (MV)</w:t>
      </w:r>
      <w:r w:rsidRPr="00A11983">
        <w:rPr>
          <w:lang w:val="cs-CZ"/>
        </w:rPr>
        <w:t xml:space="preserve"> a </w:t>
      </w:r>
      <w:r w:rsidR="00B97FA4" w:rsidRPr="00A11983">
        <w:rPr>
          <w:lang w:val="cs-CZ"/>
        </w:rPr>
        <w:t>Úřad vlády ČR</w:t>
      </w:r>
      <w:r w:rsidR="00640C00" w:rsidRPr="00A11983">
        <w:rPr>
          <w:lang w:val="cs-CZ"/>
        </w:rPr>
        <w:t xml:space="preserve"> </w:t>
      </w:r>
      <w:r w:rsidR="00B97FA4" w:rsidRPr="00A11983">
        <w:rPr>
          <w:lang w:val="cs-CZ"/>
        </w:rPr>
        <w:t>(</w:t>
      </w:r>
      <w:r w:rsidR="004655CB" w:rsidRPr="00A11983">
        <w:rPr>
          <w:lang w:val="cs-CZ"/>
        </w:rPr>
        <w:t xml:space="preserve">ÚV) </w:t>
      </w:r>
      <w:r w:rsidRPr="00A11983">
        <w:rPr>
          <w:lang w:val="cs-CZ"/>
        </w:rPr>
        <w:t xml:space="preserve">stanovily úkoly, které jsou odhodlány plnit a </w:t>
      </w:r>
      <w:r w:rsidR="004B3380" w:rsidRPr="00A11983">
        <w:rPr>
          <w:lang w:val="cs-CZ"/>
        </w:rPr>
        <w:t>A</w:t>
      </w:r>
      <w:r w:rsidRPr="00A11983">
        <w:rPr>
          <w:lang w:val="cs-CZ"/>
        </w:rPr>
        <w:t xml:space="preserve">gendu WPS tak na vnitrostátní i mezinárodní úrovni implementovat. </w:t>
      </w:r>
      <w:r w:rsidR="00BD0654" w:rsidRPr="00A11983">
        <w:rPr>
          <w:lang w:val="cs-CZ"/>
        </w:rPr>
        <w:t xml:space="preserve">Cílem </w:t>
      </w:r>
      <w:r w:rsidR="00BD0654" w:rsidRPr="00A11983">
        <w:rPr>
          <w:i/>
          <w:lang w:val="cs-CZ"/>
        </w:rPr>
        <w:t>Zprávy k Akčnímu plánu České republiky k implementaci rezoluce Rady bezpečnosti OSN č. 1325 (2000), o ženách, míru a bezpečnosti a souvisejících rezolucí na léta 2017</w:t>
      </w:r>
      <w:r w:rsidR="00B56E4D" w:rsidRPr="00A11983">
        <w:rPr>
          <w:i/>
          <w:lang w:val="cs-CZ"/>
        </w:rPr>
        <w:t>-</w:t>
      </w:r>
      <w:r w:rsidR="00BD0654" w:rsidRPr="00A11983">
        <w:rPr>
          <w:i/>
          <w:lang w:val="cs-CZ"/>
        </w:rPr>
        <w:t xml:space="preserve">2020 za rok </w:t>
      </w:r>
      <w:r w:rsidR="007E0B2E" w:rsidRPr="00A11983">
        <w:rPr>
          <w:i/>
          <w:lang w:val="cs-CZ"/>
        </w:rPr>
        <w:t>2020</w:t>
      </w:r>
      <w:r w:rsidRPr="00A11983">
        <w:rPr>
          <w:i/>
          <w:lang w:val="cs-CZ"/>
        </w:rPr>
        <w:t xml:space="preserve">, </w:t>
      </w:r>
      <w:r w:rsidRPr="00A11983">
        <w:rPr>
          <w:lang w:val="cs-CZ"/>
        </w:rPr>
        <w:t xml:space="preserve">zpracované </w:t>
      </w:r>
      <w:r w:rsidR="00AA7CAE" w:rsidRPr="00A11983">
        <w:rPr>
          <w:lang w:val="cs-CZ"/>
        </w:rPr>
        <w:t xml:space="preserve">každoročně </w:t>
      </w:r>
      <w:r w:rsidR="00B56E4D" w:rsidRPr="00A11983">
        <w:rPr>
          <w:lang w:val="cs-CZ"/>
        </w:rPr>
        <w:t>MZV</w:t>
      </w:r>
      <w:r w:rsidRPr="00A11983">
        <w:rPr>
          <w:lang w:val="cs-CZ"/>
        </w:rPr>
        <w:t xml:space="preserve"> ve spolupráci s jednotlivými rezorty,</w:t>
      </w:r>
      <w:r w:rsidR="008D173D" w:rsidRPr="00A11983">
        <w:rPr>
          <w:lang w:val="cs-CZ"/>
        </w:rPr>
        <w:t xml:space="preserve"> </w:t>
      </w:r>
      <w:r w:rsidR="00BD0654" w:rsidRPr="00A11983">
        <w:rPr>
          <w:lang w:val="cs-CZ"/>
        </w:rPr>
        <w:t>je podat čtenáři</w:t>
      </w:r>
      <w:r w:rsidR="00FB5D9A">
        <w:rPr>
          <w:lang w:val="cs-CZ"/>
        </w:rPr>
        <w:t xml:space="preserve"> a čtenářce</w:t>
      </w:r>
      <w:r w:rsidR="00BD0654" w:rsidRPr="00A11983">
        <w:rPr>
          <w:lang w:val="cs-CZ"/>
        </w:rPr>
        <w:t xml:space="preserve"> </w:t>
      </w:r>
      <w:r w:rsidR="008D173D" w:rsidRPr="00A11983">
        <w:rPr>
          <w:lang w:val="cs-CZ"/>
        </w:rPr>
        <w:t xml:space="preserve">informace o </w:t>
      </w:r>
      <w:r w:rsidRPr="00A11983">
        <w:rPr>
          <w:lang w:val="cs-CZ"/>
        </w:rPr>
        <w:t xml:space="preserve">stavu </w:t>
      </w:r>
      <w:r w:rsidR="008D173D" w:rsidRPr="00A11983">
        <w:rPr>
          <w:lang w:val="cs-CZ"/>
        </w:rPr>
        <w:t>plnění Akčního plánu</w:t>
      </w:r>
      <w:r w:rsidR="00BD0654" w:rsidRPr="00A11983">
        <w:rPr>
          <w:lang w:val="cs-CZ"/>
        </w:rPr>
        <w:t xml:space="preserve">. </w:t>
      </w:r>
      <w:r w:rsidR="004A0595">
        <w:rPr>
          <w:lang w:val="cs-CZ"/>
        </w:rPr>
        <w:t>Významnou roli při</w:t>
      </w:r>
      <w:r w:rsidR="00D01C88" w:rsidRPr="00A11983">
        <w:rPr>
          <w:lang w:val="cs-CZ"/>
        </w:rPr>
        <w:t xml:space="preserve"> rozvoji </w:t>
      </w:r>
      <w:r w:rsidR="008C7DFA" w:rsidRPr="00A11983">
        <w:rPr>
          <w:lang w:val="cs-CZ"/>
        </w:rPr>
        <w:t>Agendy</w:t>
      </w:r>
      <w:r w:rsidR="00B56E4D" w:rsidRPr="00A11983">
        <w:rPr>
          <w:lang w:val="cs-CZ"/>
        </w:rPr>
        <w:t xml:space="preserve"> </w:t>
      </w:r>
      <w:r w:rsidR="00D01C88" w:rsidRPr="00A11983">
        <w:rPr>
          <w:lang w:val="cs-CZ"/>
        </w:rPr>
        <w:t xml:space="preserve">WPS hraje </w:t>
      </w:r>
      <w:r w:rsidR="002576B2" w:rsidRPr="00A11983">
        <w:rPr>
          <w:lang w:val="cs-CZ"/>
        </w:rPr>
        <w:t>díky své</w:t>
      </w:r>
      <w:r w:rsidR="00256C7E" w:rsidRPr="00A11983">
        <w:rPr>
          <w:lang w:val="cs-CZ"/>
        </w:rPr>
        <w:t xml:space="preserve"> expert</w:t>
      </w:r>
      <w:r w:rsidR="004A0595">
        <w:rPr>
          <w:lang w:val="cs-CZ"/>
        </w:rPr>
        <w:t>íze</w:t>
      </w:r>
      <w:r w:rsidR="00B56E4D" w:rsidRPr="00A11983">
        <w:rPr>
          <w:lang w:val="cs-CZ"/>
        </w:rPr>
        <w:t xml:space="preserve"> a zkušenostem</w:t>
      </w:r>
      <w:r w:rsidR="008C7DFA" w:rsidRPr="00A11983">
        <w:rPr>
          <w:lang w:val="cs-CZ"/>
        </w:rPr>
        <w:t xml:space="preserve"> </w:t>
      </w:r>
      <w:r w:rsidR="00D01C88" w:rsidRPr="00A11983">
        <w:rPr>
          <w:lang w:val="cs-CZ"/>
        </w:rPr>
        <w:t xml:space="preserve">nevládní a akademický sektor. </w:t>
      </w:r>
      <w:r w:rsidR="00BD0654" w:rsidRPr="00A11983">
        <w:rPr>
          <w:lang w:val="cs-CZ"/>
        </w:rPr>
        <w:t xml:space="preserve">Zpráva, která bude </w:t>
      </w:r>
      <w:r w:rsidR="008E686B" w:rsidRPr="00A11983">
        <w:rPr>
          <w:lang w:val="cs-CZ"/>
        </w:rPr>
        <w:t>na základě usnesení vlády ČR č. 16 ze dne 9. ledna 2017</w:t>
      </w:r>
      <w:r w:rsidR="008E686B" w:rsidRPr="00A11983">
        <w:rPr>
          <w:bCs/>
          <w:lang w:val="cs-CZ"/>
        </w:rPr>
        <w:t xml:space="preserve"> </w:t>
      </w:r>
      <w:r w:rsidR="008E686B" w:rsidRPr="00A11983">
        <w:rPr>
          <w:lang w:val="cs-CZ"/>
        </w:rPr>
        <w:t xml:space="preserve">předkládána </w:t>
      </w:r>
      <w:r w:rsidR="008E686B" w:rsidRPr="00A11983">
        <w:rPr>
          <w:bCs/>
          <w:lang w:val="cs-CZ"/>
        </w:rPr>
        <w:t>R</w:t>
      </w:r>
      <w:r w:rsidR="00BD0654" w:rsidRPr="00A11983">
        <w:rPr>
          <w:bCs/>
          <w:lang w:val="cs-CZ"/>
        </w:rPr>
        <w:t xml:space="preserve">adě </w:t>
      </w:r>
      <w:r w:rsidR="00B97FA4" w:rsidRPr="00A11983">
        <w:rPr>
          <w:bCs/>
          <w:lang w:val="cs-CZ"/>
        </w:rPr>
        <w:t xml:space="preserve">vlády </w:t>
      </w:r>
      <w:r w:rsidR="003643BB" w:rsidRPr="00A11983">
        <w:rPr>
          <w:bCs/>
          <w:lang w:val="cs-CZ"/>
        </w:rPr>
        <w:t>pro rovnost žen a mužů</w:t>
      </w:r>
      <w:r w:rsidR="00BD0654" w:rsidRPr="00A11983">
        <w:rPr>
          <w:bCs/>
          <w:lang w:val="cs-CZ"/>
        </w:rPr>
        <w:t xml:space="preserve"> a následně </w:t>
      </w:r>
      <w:r w:rsidR="00B97FA4" w:rsidRPr="00A11983">
        <w:rPr>
          <w:bCs/>
          <w:lang w:val="cs-CZ"/>
        </w:rPr>
        <w:t xml:space="preserve">vládě </w:t>
      </w:r>
      <w:r w:rsidR="00BD0654" w:rsidRPr="00A11983">
        <w:rPr>
          <w:bCs/>
          <w:lang w:val="cs-CZ"/>
        </w:rPr>
        <w:t>ČR ke schválení</w:t>
      </w:r>
      <w:r w:rsidR="00BD0654" w:rsidRPr="00A11983">
        <w:rPr>
          <w:lang w:val="cs-CZ"/>
        </w:rPr>
        <w:t>,</w:t>
      </w:r>
      <w:r w:rsidR="008D173D" w:rsidRPr="00A11983">
        <w:rPr>
          <w:lang w:val="cs-CZ"/>
        </w:rPr>
        <w:t xml:space="preserve"> </w:t>
      </w:r>
      <w:r w:rsidR="000C4129" w:rsidRPr="00A11983">
        <w:rPr>
          <w:bCs/>
          <w:lang w:val="cs-CZ"/>
        </w:rPr>
        <w:t xml:space="preserve">je </w:t>
      </w:r>
      <w:r w:rsidR="00BD0654" w:rsidRPr="00A11983">
        <w:rPr>
          <w:bCs/>
          <w:lang w:val="cs-CZ"/>
        </w:rPr>
        <w:t xml:space="preserve">v pořadí již </w:t>
      </w:r>
      <w:r w:rsidR="007E0B2E" w:rsidRPr="00A11983">
        <w:rPr>
          <w:bCs/>
          <w:lang w:val="cs-CZ"/>
        </w:rPr>
        <w:t>čtvrtou</w:t>
      </w:r>
      <w:r w:rsidR="000C4129" w:rsidRPr="00A11983">
        <w:rPr>
          <w:bCs/>
          <w:lang w:val="cs-CZ"/>
        </w:rPr>
        <w:t xml:space="preserve"> zprávou monitorující pokrok v plnění </w:t>
      </w:r>
      <w:r w:rsidR="00B97FA4" w:rsidRPr="00A11983">
        <w:rPr>
          <w:bCs/>
          <w:lang w:val="cs-CZ"/>
        </w:rPr>
        <w:t>Akčního</w:t>
      </w:r>
      <w:r w:rsidR="00BD0654" w:rsidRPr="00A11983">
        <w:rPr>
          <w:bCs/>
          <w:lang w:val="cs-CZ"/>
        </w:rPr>
        <w:t xml:space="preserve"> plánu k Agendě WPS</w:t>
      </w:r>
      <w:r w:rsidR="00E206AE" w:rsidRPr="00A11983">
        <w:rPr>
          <w:bCs/>
          <w:lang w:val="cs-CZ"/>
        </w:rPr>
        <w:t>.</w:t>
      </w:r>
    </w:p>
    <w:p w14:paraId="242CCB76" w14:textId="6B63ECA0" w:rsidR="00816E50" w:rsidRPr="00A11983" w:rsidRDefault="000C4129" w:rsidP="009E6013">
      <w:pPr>
        <w:snapToGrid w:val="0"/>
        <w:spacing w:before="120" w:after="120"/>
        <w:jc w:val="both"/>
        <w:rPr>
          <w:bCs/>
          <w:kern w:val="32"/>
          <w:lang w:val="cs-CZ"/>
        </w:rPr>
      </w:pPr>
      <w:r w:rsidRPr="00A11983">
        <w:rPr>
          <w:lang w:val="cs-CZ"/>
        </w:rPr>
        <w:t xml:space="preserve">Zpráva je dělená na základě </w:t>
      </w:r>
      <w:r w:rsidR="002530E5" w:rsidRPr="00A11983">
        <w:rPr>
          <w:lang w:val="cs-CZ"/>
        </w:rPr>
        <w:t>sedmi hlavních</w:t>
      </w:r>
      <w:r w:rsidRPr="00A11983">
        <w:rPr>
          <w:lang w:val="cs-CZ"/>
        </w:rPr>
        <w:t xml:space="preserve"> </w:t>
      </w:r>
      <w:r w:rsidR="00816E50" w:rsidRPr="00A11983">
        <w:rPr>
          <w:lang w:val="cs-CZ"/>
        </w:rPr>
        <w:t xml:space="preserve">cílů </w:t>
      </w:r>
      <w:r w:rsidRPr="00A11983">
        <w:rPr>
          <w:lang w:val="cs-CZ"/>
        </w:rPr>
        <w:t>uvedených v</w:t>
      </w:r>
      <w:r w:rsidR="00D01C88" w:rsidRPr="00A11983">
        <w:rPr>
          <w:lang w:val="cs-CZ"/>
        </w:rPr>
        <w:t> </w:t>
      </w:r>
      <w:r w:rsidRPr="00A11983">
        <w:rPr>
          <w:lang w:val="cs-CZ"/>
        </w:rPr>
        <w:t>A</w:t>
      </w:r>
      <w:r w:rsidR="00D01C88" w:rsidRPr="00A11983">
        <w:rPr>
          <w:lang w:val="cs-CZ"/>
        </w:rPr>
        <w:t>kčním plánu k Agendě WPS</w:t>
      </w:r>
      <w:r w:rsidR="00816E50" w:rsidRPr="00A11983">
        <w:rPr>
          <w:lang w:val="cs-CZ"/>
        </w:rPr>
        <w:t xml:space="preserve">, </w:t>
      </w:r>
      <w:r w:rsidR="00816E50" w:rsidRPr="00A11983">
        <w:rPr>
          <w:bCs/>
          <w:kern w:val="32"/>
          <w:lang w:val="cs-CZ"/>
        </w:rPr>
        <w:t>které vycházejí z předmětných r</w:t>
      </w:r>
      <w:r w:rsidR="00256C7E" w:rsidRPr="00A11983">
        <w:rPr>
          <w:bCs/>
          <w:kern w:val="32"/>
          <w:lang w:val="cs-CZ"/>
        </w:rPr>
        <w:t>ezolucí Rady bezpečnosti</w:t>
      </w:r>
      <w:r w:rsidR="00816E50" w:rsidRPr="00A11983">
        <w:rPr>
          <w:bCs/>
          <w:kern w:val="32"/>
          <w:lang w:val="cs-CZ"/>
        </w:rPr>
        <w:t xml:space="preserve"> OSN:</w:t>
      </w:r>
    </w:p>
    <w:p w14:paraId="658621CA" w14:textId="77777777" w:rsidR="00816E50" w:rsidRPr="00A11983" w:rsidRDefault="00816E50" w:rsidP="009E6013">
      <w:pPr>
        <w:pStyle w:val="Odstavecseseznamem1"/>
        <w:numPr>
          <w:ilvl w:val="0"/>
          <w:numId w:val="10"/>
        </w:numPr>
        <w:spacing w:before="120" w:after="120" w:line="240" w:lineRule="auto"/>
        <w:jc w:val="both"/>
        <w:rPr>
          <w:rFonts w:ascii="Times New Roman" w:hAnsi="Times New Roman"/>
          <w:bCs/>
          <w:kern w:val="32"/>
          <w:sz w:val="24"/>
          <w:szCs w:val="24"/>
        </w:rPr>
      </w:pPr>
      <w:r w:rsidRPr="00A11983">
        <w:rPr>
          <w:rFonts w:ascii="Times New Roman" w:hAnsi="Times New Roman"/>
          <w:bCs/>
          <w:kern w:val="32"/>
          <w:sz w:val="24"/>
          <w:szCs w:val="24"/>
        </w:rPr>
        <w:t>Vyrovnané zastoupení žen a mužů v rozhodovacích pozicích ve vztahu k</w:t>
      </w:r>
      <w:r w:rsidR="00B56E4D" w:rsidRPr="00A11983">
        <w:rPr>
          <w:rFonts w:ascii="Times New Roman" w:hAnsi="Times New Roman"/>
          <w:bCs/>
          <w:kern w:val="32"/>
          <w:sz w:val="24"/>
          <w:szCs w:val="24"/>
        </w:rPr>
        <w:t> A</w:t>
      </w:r>
      <w:r w:rsidRPr="00A11983">
        <w:rPr>
          <w:rFonts w:ascii="Times New Roman" w:hAnsi="Times New Roman"/>
          <w:bCs/>
          <w:kern w:val="32"/>
          <w:sz w:val="24"/>
          <w:szCs w:val="24"/>
        </w:rPr>
        <w:t xml:space="preserve">gendě WPS  </w:t>
      </w:r>
    </w:p>
    <w:p w14:paraId="65CB3DDD" w14:textId="77777777" w:rsidR="00816E50" w:rsidRPr="00A11983" w:rsidRDefault="00816E50" w:rsidP="009E6013">
      <w:pPr>
        <w:pStyle w:val="Odstavecseseznamem1"/>
        <w:numPr>
          <w:ilvl w:val="0"/>
          <w:numId w:val="10"/>
        </w:numPr>
        <w:spacing w:before="120" w:after="120" w:line="240" w:lineRule="auto"/>
        <w:jc w:val="both"/>
        <w:rPr>
          <w:rFonts w:ascii="Times New Roman" w:hAnsi="Times New Roman"/>
          <w:bCs/>
          <w:kern w:val="32"/>
          <w:sz w:val="24"/>
          <w:szCs w:val="24"/>
        </w:rPr>
      </w:pPr>
      <w:r w:rsidRPr="00A11983">
        <w:rPr>
          <w:rFonts w:ascii="Times New Roman" w:hAnsi="Times New Roman"/>
          <w:bCs/>
          <w:kern w:val="32"/>
          <w:sz w:val="24"/>
          <w:szCs w:val="24"/>
        </w:rPr>
        <w:t>Slaďování pracovního a soukromého života ve vztahu k</w:t>
      </w:r>
      <w:r w:rsidR="00B56E4D" w:rsidRPr="00A11983">
        <w:rPr>
          <w:rFonts w:ascii="Times New Roman" w:hAnsi="Times New Roman"/>
          <w:bCs/>
          <w:kern w:val="32"/>
          <w:sz w:val="24"/>
          <w:szCs w:val="24"/>
        </w:rPr>
        <w:t> A</w:t>
      </w:r>
      <w:r w:rsidRPr="00A11983">
        <w:rPr>
          <w:rFonts w:ascii="Times New Roman" w:hAnsi="Times New Roman"/>
          <w:bCs/>
          <w:kern w:val="32"/>
          <w:sz w:val="24"/>
          <w:szCs w:val="24"/>
        </w:rPr>
        <w:t>gendě WPS</w:t>
      </w:r>
    </w:p>
    <w:p w14:paraId="41112E50" w14:textId="77777777" w:rsidR="00816E50" w:rsidRPr="00A11983" w:rsidRDefault="00816E50" w:rsidP="009E6013">
      <w:pPr>
        <w:pStyle w:val="Odstavecseseznamem1"/>
        <w:numPr>
          <w:ilvl w:val="0"/>
          <w:numId w:val="10"/>
        </w:numPr>
        <w:spacing w:before="120" w:after="120" w:line="240" w:lineRule="auto"/>
        <w:jc w:val="both"/>
        <w:rPr>
          <w:rFonts w:ascii="Times New Roman" w:hAnsi="Times New Roman"/>
          <w:bCs/>
          <w:kern w:val="32"/>
          <w:sz w:val="24"/>
          <w:szCs w:val="24"/>
        </w:rPr>
      </w:pPr>
      <w:r w:rsidRPr="00A11983">
        <w:rPr>
          <w:rFonts w:ascii="Times New Roman" w:hAnsi="Times New Roman"/>
          <w:bCs/>
          <w:kern w:val="32"/>
          <w:sz w:val="24"/>
          <w:szCs w:val="24"/>
        </w:rPr>
        <w:t>Vzdělávání a školení ve vztahu k</w:t>
      </w:r>
      <w:r w:rsidR="00B56E4D" w:rsidRPr="00A11983">
        <w:rPr>
          <w:rFonts w:ascii="Times New Roman" w:hAnsi="Times New Roman"/>
          <w:bCs/>
          <w:kern w:val="32"/>
          <w:sz w:val="24"/>
          <w:szCs w:val="24"/>
        </w:rPr>
        <w:t> A</w:t>
      </w:r>
      <w:r w:rsidRPr="00A11983">
        <w:rPr>
          <w:rFonts w:ascii="Times New Roman" w:hAnsi="Times New Roman"/>
          <w:bCs/>
          <w:kern w:val="32"/>
          <w:sz w:val="24"/>
          <w:szCs w:val="24"/>
        </w:rPr>
        <w:t>gendě WPS</w:t>
      </w:r>
    </w:p>
    <w:p w14:paraId="4B2A8389" w14:textId="77777777" w:rsidR="00816E50" w:rsidRPr="00A11983" w:rsidRDefault="00816E50" w:rsidP="009E6013">
      <w:pPr>
        <w:pStyle w:val="Odstavecseseznamem1"/>
        <w:numPr>
          <w:ilvl w:val="0"/>
          <w:numId w:val="10"/>
        </w:numPr>
        <w:spacing w:before="120" w:after="120" w:line="240" w:lineRule="auto"/>
        <w:jc w:val="both"/>
        <w:rPr>
          <w:rFonts w:ascii="Times New Roman" w:hAnsi="Times New Roman"/>
          <w:bCs/>
          <w:kern w:val="32"/>
          <w:sz w:val="24"/>
          <w:szCs w:val="24"/>
        </w:rPr>
      </w:pPr>
      <w:r w:rsidRPr="00A11983">
        <w:rPr>
          <w:rFonts w:ascii="Times New Roman" w:hAnsi="Times New Roman"/>
          <w:bCs/>
          <w:kern w:val="32"/>
          <w:sz w:val="24"/>
          <w:szCs w:val="24"/>
        </w:rPr>
        <w:t>Mezinárodní spolupráce na prosazování </w:t>
      </w:r>
      <w:r w:rsidR="00B56E4D" w:rsidRPr="00A11983">
        <w:rPr>
          <w:rFonts w:ascii="Times New Roman" w:hAnsi="Times New Roman"/>
          <w:bCs/>
          <w:kern w:val="32"/>
          <w:sz w:val="24"/>
          <w:szCs w:val="24"/>
        </w:rPr>
        <w:t>A</w:t>
      </w:r>
      <w:r w:rsidRPr="00A11983">
        <w:rPr>
          <w:rFonts w:ascii="Times New Roman" w:hAnsi="Times New Roman"/>
          <w:bCs/>
          <w:kern w:val="32"/>
          <w:sz w:val="24"/>
          <w:szCs w:val="24"/>
        </w:rPr>
        <w:t>gendy WPS</w:t>
      </w:r>
    </w:p>
    <w:p w14:paraId="3904FBC2" w14:textId="77777777" w:rsidR="00816E50" w:rsidRPr="00A11983" w:rsidRDefault="00816E50" w:rsidP="009E6013">
      <w:pPr>
        <w:pStyle w:val="Odstavecseseznamem1"/>
        <w:numPr>
          <w:ilvl w:val="0"/>
          <w:numId w:val="10"/>
        </w:numPr>
        <w:spacing w:before="120" w:after="120" w:line="240" w:lineRule="auto"/>
        <w:jc w:val="both"/>
        <w:rPr>
          <w:rFonts w:ascii="Times New Roman" w:hAnsi="Times New Roman"/>
          <w:bCs/>
          <w:kern w:val="32"/>
          <w:sz w:val="24"/>
          <w:szCs w:val="24"/>
        </w:rPr>
      </w:pPr>
      <w:r w:rsidRPr="00A11983">
        <w:rPr>
          <w:rFonts w:ascii="Times New Roman" w:hAnsi="Times New Roman"/>
          <w:bCs/>
          <w:kern w:val="32"/>
          <w:sz w:val="24"/>
          <w:szCs w:val="24"/>
        </w:rPr>
        <w:t>Důstojnost a integrita žen ve vztahu k</w:t>
      </w:r>
      <w:r w:rsidR="00B56E4D" w:rsidRPr="00A11983">
        <w:rPr>
          <w:rFonts w:ascii="Times New Roman" w:hAnsi="Times New Roman"/>
          <w:bCs/>
          <w:kern w:val="32"/>
          <w:sz w:val="24"/>
          <w:szCs w:val="24"/>
        </w:rPr>
        <w:t> A</w:t>
      </w:r>
      <w:r w:rsidRPr="00A11983">
        <w:rPr>
          <w:rFonts w:ascii="Times New Roman" w:hAnsi="Times New Roman"/>
          <w:bCs/>
          <w:kern w:val="32"/>
          <w:sz w:val="24"/>
          <w:szCs w:val="24"/>
        </w:rPr>
        <w:t xml:space="preserve">gendě WPS </w:t>
      </w:r>
    </w:p>
    <w:p w14:paraId="0F3B04EA" w14:textId="77777777" w:rsidR="00816E50" w:rsidRPr="00A11983" w:rsidRDefault="00816E50" w:rsidP="009E6013">
      <w:pPr>
        <w:pStyle w:val="Odstavecseseznamem1"/>
        <w:numPr>
          <w:ilvl w:val="0"/>
          <w:numId w:val="10"/>
        </w:numPr>
        <w:spacing w:before="120" w:after="120" w:line="240" w:lineRule="auto"/>
        <w:jc w:val="both"/>
        <w:rPr>
          <w:rFonts w:ascii="Times New Roman" w:hAnsi="Times New Roman"/>
          <w:bCs/>
          <w:kern w:val="32"/>
          <w:sz w:val="24"/>
          <w:szCs w:val="24"/>
        </w:rPr>
      </w:pPr>
      <w:r w:rsidRPr="00A11983">
        <w:rPr>
          <w:rFonts w:ascii="Times New Roman" w:hAnsi="Times New Roman"/>
          <w:bCs/>
          <w:kern w:val="32"/>
          <w:sz w:val="24"/>
          <w:szCs w:val="24"/>
        </w:rPr>
        <w:t>Agenda WPS a aktuální výzvy</w:t>
      </w:r>
    </w:p>
    <w:p w14:paraId="66384AC4" w14:textId="57F455BE" w:rsidR="00816E50" w:rsidRPr="00A11983" w:rsidRDefault="00816E50" w:rsidP="009E6013">
      <w:pPr>
        <w:pStyle w:val="Odstavecseseznamem1"/>
        <w:numPr>
          <w:ilvl w:val="0"/>
          <w:numId w:val="10"/>
        </w:numPr>
        <w:spacing w:before="120" w:after="120" w:line="240" w:lineRule="auto"/>
        <w:jc w:val="both"/>
        <w:rPr>
          <w:rFonts w:ascii="Times New Roman" w:hAnsi="Times New Roman"/>
          <w:bCs/>
          <w:color w:val="000000"/>
          <w:kern w:val="32"/>
          <w:sz w:val="24"/>
          <w:szCs w:val="24"/>
        </w:rPr>
      </w:pPr>
      <w:r w:rsidRPr="00A11983">
        <w:rPr>
          <w:rFonts w:ascii="Times New Roman" w:hAnsi="Times New Roman"/>
          <w:bCs/>
          <w:color w:val="000000"/>
          <w:kern w:val="32"/>
          <w:sz w:val="24"/>
          <w:szCs w:val="24"/>
        </w:rPr>
        <w:t>Institucionální zabezpečení rovnosti žen a mužů ve vztahu k</w:t>
      </w:r>
      <w:r w:rsidR="00D90D99" w:rsidRPr="00A11983">
        <w:rPr>
          <w:rFonts w:ascii="Times New Roman" w:hAnsi="Times New Roman"/>
          <w:bCs/>
          <w:color w:val="000000"/>
          <w:kern w:val="32"/>
          <w:sz w:val="24"/>
          <w:szCs w:val="24"/>
        </w:rPr>
        <w:t> A</w:t>
      </w:r>
      <w:r w:rsidRPr="00A11983">
        <w:rPr>
          <w:rFonts w:ascii="Times New Roman" w:hAnsi="Times New Roman"/>
          <w:bCs/>
          <w:color w:val="000000"/>
          <w:kern w:val="32"/>
          <w:sz w:val="24"/>
          <w:szCs w:val="24"/>
        </w:rPr>
        <w:t>gendě WPS</w:t>
      </w:r>
      <w:r w:rsidR="00AA7CAE" w:rsidRPr="00A11983">
        <w:rPr>
          <w:rFonts w:ascii="Times New Roman" w:hAnsi="Times New Roman"/>
          <w:bCs/>
          <w:color w:val="000000"/>
          <w:kern w:val="32"/>
          <w:sz w:val="24"/>
          <w:szCs w:val="24"/>
        </w:rPr>
        <w:t>.</w:t>
      </w:r>
      <w:r w:rsidRPr="00A11983">
        <w:rPr>
          <w:rFonts w:ascii="Times New Roman" w:hAnsi="Times New Roman"/>
          <w:bCs/>
          <w:color w:val="000000"/>
          <w:kern w:val="32"/>
          <w:sz w:val="24"/>
          <w:szCs w:val="24"/>
        </w:rPr>
        <w:t xml:space="preserve">  </w:t>
      </w:r>
    </w:p>
    <w:p w14:paraId="18991F2A" w14:textId="7D0225C3" w:rsidR="00DD6645" w:rsidRPr="00A11983" w:rsidRDefault="00816E50" w:rsidP="009E6013">
      <w:pPr>
        <w:snapToGrid w:val="0"/>
        <w:spacing w:before="120" w:after="120"/>
        <w:jc w:val="both"/>
        <w:rPr>
          <w:lang w:val="cs-CZ"/>
        </w:rPr>
      </w:pPr>
      <w:r w:rsidRPr="00A11983">
        <w:rPr>
          <w:lang w:val="cs-CZ"/>
        </w:rPr>
        <w:t>Každý z těchto hlavních cílů je dále členěn do úkolů, za jejichž realizaci jsou odpovědné příslušné rez</w:t>
      </w:r>
      <w:r w:rsidR="002530E5" w:rsidRPr="00A11983">
        <w:rPr>
          <w:lang w:val="cs-CZ"/>
        </w:rPr>
        <w:t>orty.</w:t>
      </w:r>
      <w:r w:rsidR="000C4129" w:rsidRPr="00A11983">
        <w:rPr>
          <w:lang w:val="cs-CZ"/>
        </w:rPr>
        <w:t xml:space="preserve"> </w:t>
      </w:r>
      <w:r w:rsidR="002530E5" w:rsidRPr="00A11983">
        <w:rPr>
          <w:lang w:val="cs-CZ"/>
        </w:rPr>
        <w:t>Platformou pro monitoring a výměnu informací k</w:t>
      </w:r>
      <w:r w:rsidR="00D90D99" w:rsidRPr="00A11983">
        <w:rPr>
          <w:lang w:val="cs-CZ"/>
        </w:rPr>
        <w:t> A</w:t>
      </w:r>
      <w:r w:rsidR="002530E5" w:rsidRPr="00A11983">
        <w:rPr>
          <w:lang w:val="cs-CZ"/>
        </w:rPr>
        <w:t>gendě WPS se stala mezirezortní pracovní skupina, která sdružuje zástup</w:t>
      </w:r>
      <w:r w:rsidR="004B3380" w:rsidRPr="00A11983">
        <w:rPr>
          <w:lang w:val="cs-CZ"/>
        </w:rPr>
        <w:t>ce</w:t>
      </w:r>
      <w:r w:rsidR="002530E5" w:rsidRPr="00A11983">
        <w:rPr>
          <w:lang w:val="cs-CZ"/>
        </w:rPr>
        <w:t xml:space="preserve"> </w:t>
      </w:r>
      <w:r w:rsidR="00AA7CAE" w:rsidRPr="00A11983">
        <w:rPr>
          <w:lang w:val="cs-CZ"/>
        </w:rPr>
        <w:t xml:space="preserve">a zástupkyně </w:t>
      </w:r>
      <w:r w:rsidR="002530E5" w:rsidRPr="00A11983">
        <w:rPr>
          <w:lang w:val="cs-CZ"/>
        </w:rPr>
        <w:t>ministerstev, nevládních organizací a akademické</w:t>
      </w:r>
      <w:r w:rsidR="0020238E" w:rsidRPr="00A11983">
        <w:rPr>
          <w:lang w:val="cs-CZ"/>
        </w:rPr>
        <w:t xml:space="preserve"> sféry, a jejíž činnost je </w:t>
      </w:r>
      <w:r w:rsidR="002530E5" w:rsidRPr="00A11983">
        <w:rPr>
          <w:lang w:val="cs-CZ"/>
        </w:rPr>
        <w:t>svázána s činností Rady vlády pro rovnost žen a mužů.</w:t>
      </w:r>
      <w:r w:rsidR="0099077D" w:rsidRPr="00A11983">
        <w:rPr>
          <w:lang w:val="cs-CZ"/>
        </w:rPr>
        <w:t xml:space="preserve"> </w:t>
      </w:r>
    </w:p>
    <w:p w14:paraId="1D1F054A" w14:textId="77777777" w:rsidR="00F94FB8" w:rsidRPr="00A11983" w:rsidRDefault="00F94FB8" w:rsidP="009E6013">
      <w:pPr>
        <w:snapToGrid w:val="0"/>
        <w:spacing w:before="120" w:after="120"/>
        <w:jc w:val="both"/>
        <w:rPr>
          <w:highlight w:val="yellow"/>
          <w:lang w:val="cs-CZ"/>
        </w:rPr>
      </w:pPr>
    </w:p>
    <w:p w14:paraId="57F0A328" w14:textId="2E316B1E" w:rsidR="0020238E" w:rsidRPr="00A11983" w:rsidRDefault="0020238E" w:rsidP="009E6013">
      <w:pPr>
        <w:snapToGrid w:val="0"/>
        <w:spacing w:before="120" w:after="120"/>
        <w:jc w:val="both"/>
        <w:rPr>
          <w:b/>
          <w:color w:val="2F5496" w:themeColor="accent1" w:themeShade="BF"/>
          <w:sz w:val="28"/>
          <w:szCs w:val="28"/>
          <w:u w:val="single"/>
          <w:lang w:val="cs-CZ"/>
        </w:rPr>
      </w:pPr>
      <w:r w:rsidRPr="00A11983">
        <w:rPr>
          <w:b/>
          <w:color w:val="2F5496" w:themeColor="accent1" w:themeShade="BF"/>
          <w:sz w:val="28"/>
          <w:szCs w:val="28"/>
          <w:u w:val="single"/>
          <w:lang w:val="cs-CZ"/>
        </w:rPr>
        <w:t>Imp</w:t>
      </w:r>
      <w:r w:rsidR="00105997" w:rsidRPr="00A11983">
        <w:rPr>
          <w:b/>
          <w:color w:val="2F5496" w:themeColor="accent1" w:themeShade="BF"/>
          <w:sz w:val="28"/>
          <w:szCs w:val="28"/>
          <w:u w:val="single"/>
          <w:lang w:val="cs-CZ"/>
        </w:rPr>
        <w:t>lementace Agendy WPS v roce 2020</w:t>
      </w:r>
    </w:p>
    <w:p w14:paraId="600F4D3F" w14:textId="35BBD08E" w:rsidR="00EA582F" w:rsidRPr="00A11983" w:rsidRDefault="007E0B2E" w:rsidP="009E6013">
      <w:pPr>
        <w:snapToGrid w:val="0"/>
        <w:spacing w:before="120" w:after="120"/>
        <w:jc w:val="both"/>
        <w:rPr>
          <w:lang w:val="cs-CZ"/>
        </w:rPr>
      </w:pPr>
      <w:r w:rsidRPr="00A11983">
        <w:rPr>
          <w:lang w:val="cs-CZ"/>
        </w:rPr>
        <w:t>V roce 2020</w:t>
      </w:r>
      <w:r w:rsidR="00EA582F" w:rsidRPr="00A11983">
        <w:rPr>
          <w:lang w:val="cs-CZ"/>
        </w:rPr>
        <w:t xml:space="preserve"> byla implementace Agendy WPS ovlivněna </w:t>
      </w:r>
      <w:r w:rsidRPr="00A11983">
        <w:rPr>
          <w:lang w:val="cs-CZ"/>
        </w:rPr>
        <w:t xml:space="preserve">procesem příprav a přijetím </w:t>
      </w:r>
      <w:r w:rsidR="00EA582F" w:rsidRPr="00A11983">
        <w:rPr>
          <w:lang w:val="cs-CZ"/>
        </w:rPr>
        <w:t xml:space="preserve">druhého Národního akčního plánu k Agendě WPS na </w:t>
      </w:r>
      <w:r w:rsidR="00273D4C" w:rsidRPr="00A11983">
        <w:rPr>
          <w:lang w:val="cs-CZ"/>
        </w:rPr>
        <w:t>období 2021-2025 i nové S</w:t>
      </w:r>
      <w:r w:rsidR="00EA582F" w:rsidRPr="00A11983">
        <w:rPr>
          <w:lang w:val="cs-CZ"/>
        </w:rPr>
        <w:t>trategie pro rovnost ž</w:t>
      </w:r>
      <w:r w:rsidR="0099077D" w:rsidRPr="00A11983">
        <w:rPr>
          <w:lang w:val="cs-CZ"/>
        </w:rPr>
        <w:t>en a mužů na období 2021 – 2030,</w:t>
      </w:r>
      <w:r w:rsidR="00EA582F" w:rsidRPr="00A11983">
        <w:rPr>
          <w:lang w:val="cs-CZ"/>
        </w:rPr>
        <w:t xml:space="preserve"> ČR v daném roce </w:t>
      </w:r>
      <w:r w:rsidR="0099562F" w:rsidRPr="00A11983">
        <w:rPr>
          <w:lang w:val="cs-CZ"/>
        </w:rPr>
        <w:t xml:space="preserve">ovšem v prvé řadě </w:t>
      </w:r>
      <w:r w:rsidR="00EA582F" w:rsidRPr="00A11983">
        <w:rPr>
          <w:lang w:val="cs-CZ"/>
        </w:rPr>
        <w:t>pokračovala s realizací AP k Agendě WPS</w:t>
      </w:r>
      <w:r w:rsidR="0099077D" w:rsidRPr="00A11983">
        <w:rPr>
          <w:lang w:val="cs-CZ"/>
        </w:rPr>
        <w:t>. S</w:t>
      </w:r>
      <w:r w:rsidR="00105997" w:rsidRPr="00A11983">
        <w:rPr>
          <w:lang w:val="cs-CZ"/>
        </w:rPr>
        <w:t>ituace byla nicméně negativ</w:t>
      </w:r>
      <w:r w:rsidR="007A3387">
        <w:rPr>
          <w:lang w:val="cs-CZ"/>
        </w:rPr>
        <w:t>ně ovlivněna pandemií COVID-19, která</w:t>
      </w:r>
      <w:r w:rsidR="00105997" w:rsidRPr="00A11983">
        <w:rPr>
          <w:lang w:val="cs-CZ"/>
        </w:rPr>
        <w:t xml:space="preserve"> v některých aspe</w:t>
      </w:r>
      <w:r w:rsidR="003875E4" w:rsidRPr="00A11983">
        <w:rPr>
          <w:lang w:val="cs-CZ"/>
        </w:rPr>
        <w:t>k</w:t>
      </w:r>
      <w:r w:rsidR="007A3387">
        <w:rPr>
          <w:lang w:val="cs-CZ"/>
        </w:rPr>
        <w:t>tech způsobila</w:t>
      </w:r>
      <w:r w:rsidR="00105997" w:rsidRPr="00A11983">
        <w:rPr>
          <w:lang w:val="cs-CZ"/>
        </w:rPr>
        <w:t xml:space="preserve"> </w:t>
      </w:r>
      <w:r w:rsidR="0099077D" w:rsidRPr="00A11983">
        <w:rPr>
          <w:lang w:val="cs-CZ"/>
        </w:rPr>
        <w:t xml:space="preserve">bohužel zpomalení či </w:t>
      </w:r>
      <w:r w:rsidR="00105997" w:rsidRPr="00A11983">
        <w:rPr>
          <w:lang w:val="cs-CZ"/>
        </w:rPr>
        <w:t>zmrazení pokroku v implementaci agendy</w:t>
      </w:r>
      <w:r w:rsidR="0099077D" w:rsidRPr="00A11983">
        <w:rPr>
          <w:lang w:val="cs-CZ"/>
        </w:rPr>
        <w:t xml:space="preserve"> WPS</w:t>
      </w:r>
      <w:r w:rsidR="00105997" w:rsidRPr="00A11983">
        <w:rPr>
          <w:lang w:val="cs-CZ"/>
        </w:rPr>
        <w:t>.</w:t>
      </w:r>
      <w:r w:rsidR="00EA582F" w:rsidRPr="00A11983">
        <w:rPr>
          <w:lang w:val="cs-CZ"/>
        </w:rPr>
        <w:t xml:space="preserve"> </w:t>
      </w:r>
      <w:r w:rsidR="003875E4" w:rsidRPr="00A11983">
        <w:rPr>
          <w:lang w:val="cs-CZ"/>
        </w:rPr>
        <w:t xml:space="preserve">Z důvodu pandemických opatření byla například zrušena některá výběrová řízení v gesci MO i MZV. </w:t>
      </w:r>
    </w:p>
    <w:p w14:paraId="0967E90D" w14:textId="6DC5BEF7" w:rsidR="003875E4" w:rsidRPr="00A11983" w:rsidRDefault="00EA582F" w:rsidP="009E6013">
      <w:pPr>
        <w:snapToGrid w:val="0"/>
        <w:spacing w:after="120"/>
        <w:jc w:val="both"/>
        <w:rPr>
          <w:lang w:val="cs-CZ"/>
        </w:rPr>
      </w:pPr>
      <w:r w:rsidRPr="00A11983">
        <w:rPr>
          <w:lang w:val="cs-CZ"/>
        </w:rPr>
        <w:t>V gesci MO lze zmínit pokračující vysoký podí</w:t>
      </w:r>
      <w:r w:rsidR="003875E4" w:rsidRPr="00A11983">
        <w:rPr>
          <w:lang w:val="cs-CZ"/>
        </w:rPr>
        <w:t>l (25</w:t>
      </w:r>
      <w:r w:rsidRPr="00A11983">
        <w:rPr>
          <w:lang w:val="cs-CZ"/>
        </w:rPr>
        <w:t xml:space="preserve"> %) žen mezi příslušníky a příslušnicemi Armády ČR vyslanými do pozorovatelských misí OSN. </w:t>
      </w:r>
      <w:r w:rsidR="003875E4" w:rsidRPr="00A11983">
        <w:rPr>
          <w:lang w:val="cs-CZ"/>
        </w:rPr>
        <w:t xml:space="preserve">Ve strukturách EU a NATO bylo </w:t>
      </w:r>
      <w:r w:rsidR="003875E4" w:rsidRPr="00A11983">
        <w:rPr>
          <w:lang w:val="cs-CZ"/>
        </w:rPr>
        <w:lastRenderedPageBreak/>
        <w:t>k 31. 12. 2020 vysláno 216 osob</w:t>
      </w:r>
      <w:r w:rsidR="003875E4" w:rsidRPr="00A11983">
        <w:rPr>
          <w:rStyle w:val="Znakapoznpodarou"/>
          <w:lang w:val="cs-CZ"/>
        </w:rPr>
        <w:footnoteReference w:id="2"/>
      </w:r>
      <w:r w:rsidR="003875E4" w:rsidRPr="00A11983">
        <w:rPr>
          <w:lang w:val="cs-CZ"/>
        </w:rPr>
        <w:t xml:space="preserve">, z toho 26 žen. </w:t>
      </w:r>
      <w:r w:rsidR="001F7A6F">
        <w:rPr>
          <w:b/>
          <w:lang w:val="cs-CZ"/>
        </w:rPr>
        <w:t>Počet žen v těchto</w:t>
      </w:r>
      <w:r w:rsidR="003875E4" w:rsidRPr="00A11983">
        <w:rPr>
          <w:b/>
          <w:lang w:val="cs-CZ"/>
        </w:rPr>
        <w:t xml:space="preserve"> strukturách tak vzrostl oproti roku 2019 z 10 % na 12 %. </w:t>
      </w:r>
      <w:r w:rsidR="003875E4" w:rsidRPr="00A11983">
        <w:rPr>
          <w:lang w:val="cs-CZ"/>
        </w:rPr>
        <w:t>Jen v roce 2020 přitom bylo vysláno 86 osob, z toho 12 žen, tedy 14 % oproti 11 % v roce 2019.</w:t>
      </w:r>
    </w:p>
    <w:p w14:paraId="6C9F3349" w14:textId="63420DF0" w:rsidR="00DB3A53" w:rsidRPr="00284463" w:rsidRDefault="00DB3A53" w:rsidP="009E6013">
      <w:pPr>
        <w:snapToGrid w:val="0"/>
        <w:spacing w:before="120" w:after="120"/>
        <w:jc w:val="both"/>
        <w:rPr>
          <w:highlight w:val="yellow"/>
          <w:lang w:val="cs-CZ"/>
        </w:rPr>
      </w:pPr>
      <w:r w:rsidRPr="00284463">
        <w:rPr>
          <w:lang w:val="cs-CZ"/>
        </w:rPr>
        <w:t xml:space="preserve">MZV </w:t>
      </w:r>
      <w:r w:rsidR="00105997" w:rsidRPr="00284463">
        <w:rPr>
          <w:lang w:val="cs-CZ"/>
        </w:rPr>
        <w:t>se i n</w:t>
      </w:r>
      <w:r w:rsidR="00400094" w:rsidRPr="00284463">
        <w:rPr>
          <w:lang w:val="cs-CZ"/>
        </w:rPr>
        <w:t>a</w:t>
      </w:r>
      <w:r w:rsidR="00105997" w:rsidRPr="00284463">
        <w:rPr>
          <w:lang w:val="cs-CZ"/>
        </w:rPr>
        <w:t>dále aktivně podílelo na činnosti</w:t>
      </w:r>
      <w:r w:rsidRPr="00284463">
        <w:rPr>
          <w:lang w:val="cs-CZ"/>
        </w:rPr>
        <w:t xml:space="preserve"> Skupiny přátel Agendy WPS.</w:t>
      </w:r>
      <w:r w:rsidR="00B3782C" w:rsidRPr="00284463">
        <w:rPr>
          <w:lang w:val="cs-CZ"/>
        </w:rPr>
        <w:t xml:space="preserve"> </w:t>
      </w:r>
      <w:r w:rsidR="0099077D" w:rsidRPr="00284463">
        <w:rPr>
          <w:lang w:val="cs-CZ"/>
        </w:rPr>
        <w:t xml:space="preserve">V roce 2020 byla podpořena řada projektů rozvojové spolupráce a humanitární pomoci zaměřená na posílení postavení žen. </w:t>
      </w:r>
      <w:r w:rsidR="003875E4" w:rsidRPr="00284463">
        <w:rPr>
          <w:lang w:val="cs-CZ"/>
        </w:rPr>
        <w:t>ČR v roce 2020 opětovně podpořila rozpočet UN WOMEM částkou 400 000 Kč a Úřad</w:t>
      </w:r>
      <w:r w:rsidR="00EE622E" w:rsidRPr="00284463">
        <w:rPr>
          <w:lang w:val="cs-CZ"/>
        </w:rPr>
        <w:t xml:space="preserve"> vysoké komisařky</w:t>
      </w:r>
      <w:r w:rsidRPr="00284463">
        <w:rPr>
          <w:lang w:val="cs-CZ"/>
        </w:rPr>
        <w:t xml:space="preserve"> </w:t>
      </w:r>
      <w:r w:rsidR="00400094" w:rsidRPr="00284463">
        <w:rPr>
          <w:lang w:val="cs-CZ"/>
        </w:rPr>
        <w:t xml:space="preserve">pro lidská práva (2 000 000 Kč). </w:t>
      </w:r>
      <w:r w:rsidR="000264A4" w:rsidRPr="00284463">
        <w:rPr>
          <w:lang w:val="cs-CZ"/>
        </w:rPr>
        <w:t xml:space="preserve">MZV </w:t>
      </w:r>
      <w:r w:rsidR="00400094" w:rsidRPr="00284463">
        <w:rPr>
          <w:lang w:val="cs-CZ"/>
        </w:rPr>
        <w:t>se v prosinci 2020 zapojilo do kampaně proti domácímu a genderově podmíněnému násilí „Orange the world“. P</w:t>
      </w:r>
      <w:r w:rsidR="000264A4" w:rsidRPr="00284463">
        <w:rPr>
          <w:lang w:val="cs-CZ"/>
        </w:rPr>
        <w:t>artne</w:t>
      </w:r>
      <w:r w:rsidR="00400094" w:rsidRPr="00284463">
        <w:rPr>
          <w:lang w:val="cs-CZ"/>
        </w:rPr>
        <w:t xml:space="preserve">ři </w:t>
      </w:r>
      <w:r w:rsidR="000264A4" w:rsidRPr="00284463">
        <w:rPr>
          <w:lang w:val="cs-CZ"/>
        </w:rPr>
        <w:t>a partnerk</w:t>
      </w:r>
      <w:r w:rsidR="00400094" w:rsidRPr="00284463">
        <w:rPr>
          <w:lang w:val="cs-CZ"/>
        </w:rPr>
        <w:t>y</w:t>
      </w:r>
      <w:r w:rsidR="000264A4" w:rsidRPr="00284463">
        <w:rPr>
          <w:lang w:val="cs-CZ"/>
        </w:rPr>
        <w:t xml:space="preserve"> diplomatů </w:t>
      </w:r>
      <w:r w:rsidR="00400094" w:rsidRPr="00284463">
        <w:rPr>
          <w:lang w:val="cs-CZ"/>
        </w:rPr>
        <w:t>mají možnost využít konzultací referentky</w:t>
      </w:r>
      <w:r w:rsidR="000264A4" w:rsidRPr="00284463">
        <w:rPr>
          <w:lang w:val="cs-CZ"/>
        </w:rPr>
        <w:t xml:space="preserve"> Sdružení rodinných příslušníků MZV</w:t>
      </w:r>
      <w:r w:rsidR="00400094" w:rsidRPr="00284463">
        <w:rPr>
          <w:lang w:val="cs-CZ"/>
        </w:rPr>
        <w:t>.</w:t>
      </w:r>
    </w:p>
    <w:p w14:paraId="53DA9B71" w14:textId="1F24E77A" w:rsidR="00EE622E" w:rsidRPr="00284463" w:rsidRDefault="00EE622E" w:rsidP="009E6013">
      <w:pPr>
        <w:autoSpaceDE w:val="0"/>
        <w:autoSpaceDN w:val="0"/>
        <w:jc w:val="both"/>
        <w:rPr>
          <w:lang w:val="cs-CZ"/>
        </w:rPr>
      </w:pPr>
      <w:r w:rsidRPr="00284463">
        <w:rPr>
          <w:lang w:val="cs-CZ"/>
        </w:rPr>
        <w:t>V gesci MV, v rámci působení českých policistek ve významných organizacích</w:t>
      </w:r>
      <w:r w:rsidR="001F7A6F" w:rsidRPr="00284463">
        <w:rPr>
          <w:lang w:val="cs-CZ"/>
        </w:rPr>
        <w:t>,</w:t>
      </w:r>
      <w:r w:rsidRPr="00284463">
        <w:rPr>
          <w:lang w:val="cs-CZ"/>
        </w:rPr>
        <w:t xml:space="preserve"> nelze opomenout zejména pozici </w:t>
      </w:r>
      <w:r w:rsidRPr="00284463">
        <w:rPr>
          <w:b/>
          <w:lang w:val="cs-CZ"/>
        </w:rPr>
        <w:t>vice-prezidentky INTERPOLu pro Evropu</w:t>
      </w:r>
      <w:r w:rsidRPr="00284463">
        <w:rPr>
          <w:lang w:val="cs-CZ"/>
        </w:rPr>
        <w:t xml:space="preserve"> (jakožto největší policejní organizace na světě a mezinárodní mezivládní organizace zabezpečující pol</w:t>
      </w:r>
      <w:r w:rsidR="001F7A6F" w:rsidRPr="00284463">
        <w:rPr>
          <w:lang w:val="cs-CZ"/>
        </w:rPr>
        <w:t xml:space="preserve">icejní spolupráci v kriminálně </w:t>
      </w:r>
      <w:r w:rsidRPr="00284463">
        <w:rPr>
          <w:lang w:val="cs-CZ"/>
        </w:rPr>
        <w:t>policejní oblasti mezi smluvními státy), kterou v roce 2020 zastávala plk. Mgr. Bc. Šárka Havránková. V tuto chvíli se jedná o jednu z nejvyšších pozic zastupovan</w:t>
      </w:r>
      <w:r w:rsidR="00FB5D9A" w:rsidRPr="00284463">
        <w:rPr>
          <w:lang w:val="cs-CZ"/>
        </w:rPr>
        <w:t>ých</w:t>
      </w:r>
      <w:r w:rsidRPr="00284463">
        <w:rPr>
          <w:lang w:val="cs-CZ"/>
        </w:rPr>
        <w:t xml:space="preserve"> ženou v rámci mezinárodní bezpečnostní organizace. </w:t>
      </w:r>
    </w:p>
    <w:p w14:paraId="4E6E3BDA" w14:textId="77777777" w:rsidR="00EE622E" w:rsidRPr="00284463" w:rsidRDefault="00EE622E" w:rsidP="009E6013">
      <w:pPr>
        <w:snapToGrid w:val="0"/>
        <w:spacing w:after="120"/>
        <w:jc w:val="both"/>
        <w:rPr>
          <w:highlight w:val="yellow"/>
          <w:lang w:val="cs-CZ"/>
        </w:rPr>
      </w:pPr>
    </w:p>
    <w:p w14:paraId="35C3A417" w14:textId="349875EA" w:rsidR="000264A4" w:rsidRPr="00284463" w:rsidRDefault="000264A4" w:rsidP="009E6013">
      <w:pPr>
        <w:rPr>
          <w:sz w:val="22"/>
          <w:szCs w:val="22"/>
          <w:lang w:val="cs-CZ"/>
        </w:rPr>
      </w:pPr>
      <w:r w:rsidRPr="00284463">
        <w:rPr>
          <w:sz w:val="22"/>
          <w:szCs w:val="22"/>
          <w:lang w:val="cs-CZ"/>
        </w:rPr>
        <w:br w:type="page"/>
      </w:r>
    </w:p>
    <w:p w14:paraId="454D5F8E" w14:textId="53DDB6D0" w:rsidR="00052CA2" w:rsidRPr="00A11983" w:rsidRDefault="00052CA2" w:rsidP="00057D32">
      <w:pPr>
        <w:pStyle w:val="Nadpis1"/>
        <w:pageBreakBefore/>
        <w:numPr>
          <w:ilvl w:val="0"/>
          <w:numId w:val="9"/>
        </w:numPr>
        <w:pBdr>
          <w:top w:val="single" w:sz="4" w:space="1" w:color="4F81BD"/>
          <w:left w:val="single" w:sz="4" w:space="4" w:color="4F81BD"/>
          <w:bottom w:val="single" w:sz="4" w:space="1" w:color="4F81BD"/>
          <w:right w:val="single" w:sz="4" w:space="4" w:color="4F81BD"/>
          <w:between w:val="single" w:sz="4" w:space="1" w:color="4F81BD"/>
          <w:bar w:val="single" w:sz="4" w:color="4F81BD"/>
        </w:pBdr>
        <w:spacing w:line="276" w:lineRule="auto"/>
        <w:ind w:left="357" w:hanging="357"/>
        <w:rPr>
          <w:rFonts w:ascii="Times New Roman" w:hAnsi="Times New Roman"/>
          <w:color w:val="2F5496" w:themeColor="accent1" w:themeShade="BF"/>
          <w:sz w:val="22"/>
          <w:szCs w:val="22"/>
          <w:lang w:val="cs-CZ"/>
        </w:rPr>
      </w:pPr>
      <w:bookmarkStart w:id="3" w:name="_Toc469998691"/>
      <w:bookmarkStart w:id="4" w:name="_Toc8495766"/>
      <w:bookmarkStart w:id="5" w:name="_Toc39673325"/>
      <w:r w:rsidRPr="00A11983">
        <w:rPr>
          <w:rFonts w:ascii="Times New Roman" w:hAnsi="Times New Roman"/>
          <w:color w:val="2F5496" w:themeColor="accent1" w:themeShade="BF"/>
          <w:sz w:val="28"/>
          <w:szCs w:val="22"/>
          <w:lang w:val="cs-CZ"/>
        </w:rPr>
        <w:lastRenderedPageBreak/>
        <w:t>Vyrovnané zastoupení žen a mužů v rozhodovacích pozicích</w:t>
      </w:r>
      <w:bookmarkEnd w:id="3"/>
      <w:bookmarkEnd w:id="4"/>
      <w:bookmarkEnd w:id="5"/>
      <w:r w:rsidRPr="00A11983">
        <w:rPr>
          <w:rFonts w:ascii="Times New Roman" w:hAnsi="Times New Roman"/>
          <w:color w:val="2F5496" w:themeColor="accent1" w:themeShade="BF"/>
          <w:sz w:val="28"/>
          <w:szCs w:val="22"/>
          <w:lang w:val="cs-CZ"/>
        </w:rPr>
        <w:t xml:space="preserve">  </w:t>
      </w:r>
    </w:p>
    <w:p w14:paraId="4457A77F" w14:textId="77777777" w:rsidR="00EC743C" w:rsidRPr="00A11983" w:rsidRDefault="00EC743C" w:rsidP="007554FF">
      <w:pPr>
        <w:snapToGrid w:val="0"/>
        <w:spacing w:after="120" w:line="276" w:lineRule="auto"/>
        <w:ind w:left="405"/>
        <w:jc w:val="center"/>
        <w:rPr>
          <w:b/>
          <w:sz w:val="22"/>
          <w:szCs w:val="22"/>
          <w:lang w:val="cs-CZ"/>
        </w:rPr>
      </w:pPr>
    </w:p>
    <w:p w14:paraId="71C195F7" w14:textId="77777777" w:rsidR="00AF6779" w:rsidRPr="00A11983" w:rsidRDefault="00AF6779" w:rsidP="009E6013">
      <w:pPr>
        <w:pStyle w:val="Nadpis2"/>
        <w:pBdr>
          <w:bottom w:val="single" w:sz="4" w:space="1" w:color="4F81BD"/>
        </w:pBdr>
        <w:spacing w:line="276" w:lineRule="auto"/>
        <w:rPr>
          <w:rFonts w:ascii="Times New Roman" w:hAnsi="Times New Roman"/>
          <w:i w:val="0"/>
          <w:color w:val="2F5496" w:themeColor="accent1" w:themeShade="BF"/>
          <w:lang w:val="cs-CZ"/>
        </w:rPr>
      </w:pPr>
      <w:bookmarkStart w:id="6" w:name="_Toc39673326"/>
      <w:r w:rsidRPr="00A11983">
        <w:rPr>
          <w:rFonts w:ascii="Times New Roman" w:hAnsi="Times New Roman"/>
          <w:i w:val="0"/>
          <w:color w:val="2F5496" w:themeColor="accent1" w:themeShade="BF"/>
          <w:lang w:val="cs-CZ"/>
        </w:rPr>
        <w:t>Úkol č. 1</w:t>
      </w:r>
      <w:bookmarkEnd w:id="6"/>
    </w:p>
    <w:p w14:paraId="2AA314FA" w14:textId="77777777" w:rsidR="00707E05" w:rsidRPr="00A808A0" w:rsidRDefault="00AF6779" w:rsidP="009E6013">
      <w:pPr>
        <w:snapToGrid w:val="0"/>
        <w:spacing w:after="120" w:line="276" w:lineRule="auto"/>
        <w:jc w:val="both"/>
        <w:rPr>
          <w:b/>
          <w:lang w:val="cs-CZ"/>
        </w:rPr>
      </w:pPr>
      <w:r w:rsidRPr="00A808A0">
        <w:rPr>
          <w:b/>
          <w:lang w:val="cs-CZ"/>
        </w:rPr>
        <w:t>Obecný cíl: Usilovat o zvýšení zastoupení žen v rámci vojenských a civilních misí,</w:t>
      </w:r>
      <w:r w:rsidR="00A30FD8" w:rsidRPr="00A808A0">
        <w:rPr>
          <w:b/>
          <w:lang w:val="cs-CZ"/>
        </w:rPr>
        <w:t xml:space="preserve"> </w:t>
      </w:r>
      <w:r w:rsidRPr="00A808A0">
        <w:rPr>
          <w:b/>
          <w:lang w:val="cs-CZ"/>
        </w:rPr>
        <w:t>v mezinárodních organizacích včetně rozhodovacích pozic</w:t>
      </w:r>
    </w:p>
    <w:p w14:paraId="4D687231" w14:textId="77777777" w:rsidR="00AF6779" w:rsidRPr="00A808A0" w:rsidRDefault="00A374E7" w:rsidP="009E6013">
      <w:pPr>
        <w:snapToGrid w:val="0"/>
        <w:spacing w:after="120" w:line="276" w:lineRule="auto"/>
        <w:jc w:val="both"/>
        <w:rPr>
          <w:lang w:val="cs-CZ"/>
        </w:rPr>
      </w:pPr>
      <w:r w:rsidRPr="00A808A0">
        <w:rPr>
          <w:lang w:val="cs-CZ"/>
        </w:rPr>
        <w:t>Úkoly</w:t>
      </w:r>
      <w:r w:rsidR="00AF6779" w:rsidRPr="00A808A0">
        <w:rPr>
          <w:lang w:val="cs-CZ"/>
        </w:rPr>
        <w:t>:</w:t>
      </w:r>
    </w:p>
    <w:p w14:paraId="3AF1A48F" w14:textId="77777777" w:rsidR="00AF6779" w:rsidRPr="00A808A0" w:rsidRDefault="00AF6779" w:rsidP="009E6013">
      <w:pPr>
        <w:numPr>
          <w:ilvl w:val="0"/>
          <w:numId w:val="7"/>
        </w:numPr>
        <w:snapToGrid w:val="0"/>
        <w:spacing w:after="120" w:line="276" w:lineRule="auto"/>
        <w:jc w:val="both"/>
        <w:rPr>
          <w:lang w:val="cs-CZ"/>
        </w:rPr>
      </w:pPr>
      <w:r w:rsidRPr="00A808A0">
        <w:rPr>
          <w:lang w:val="cs-CZ"/>
        </w:rPr>
        <w:t>V rámci nabízených pozic (NATO, EU, OBSE a OSN) proaktivně hledat pozice pro uplatnění žen a konkrétními opatřeními zvyšovat kompetence žen-vojákyň a žen-policistek pro případnou účast v zahraničních vojenských a civilních misích;</w:t>
      </w:r>
    </w:p>
    <w:p w14:paraId="6342C4DC" w14:textId="5740189D" w:rsidR="00AF6779" w:rsidRPr="00A808A0" w:rsidRDefault="00AF6779" w:rsidP="009E6013">
      <w:pPr>
        <w:numPr>
          <w:ilvl w:val="0"/>
          <w:numId w:val="7"/>
        </w:numPr>
        <w:snapToGrid w:val="0"/>
        <w:spacing w:after="120" w:line="276" w:lineRule="auto"/>
        <w:jc w:val="both"/>
        <w:rPr>
          <w:lang w:val="cs-CZ"/>
        </w:rPr>
      </w:pPr>
      <w:r w:rsidRPr="00A808A0">
        <w:rPr>
          <w:lang w:val="cs-CZ"/>
        </w:rPr>
        <w:t xml:space="preserve">Prostřednictvím osvětových aktivit podporovat zájem žen-vojákyň a žen-policistek o účast v zahraničních vojenských a civilních misích, pravidelné sledování a hodnocení vývoje statistických údajů týkajících se žen a mužů účastnících se zahraničních vojenských operací a pozorovatelských misí; krátkodobé a dlouhodobé vysílání zaměstnankyň do </w:t>
      </w:r>
      <w:r w:rsidR="007F3395" w:rsidRPr="00A808A0">
        <w:rPr>
          <w:lang w:val="cs-CZ"/>
        </w:rPr>
        <w:t>zahraničí do programů EU/EASO/</w:t>
      </w:r>
      <w:r w:rsidRPr="00A808A0">
        <w:rPr>
          <w:lang w:val="cs-CZ"/>
        </w:rPr>
        <w:t>FRONTEX;</w:t>
      </w:r>
    </w:p>
    <w:p w14:paraId="7534D477" w14:textId="0AB6DC73" w:rsidR="00040F6D" w:rsidRPr="00A808A0" w:rsidRDefault="00AF6779" w:rsidP="009E6013">
      <w:pPr>
        <w:numPr>
          <w:ilvl w:val="0"/>
          <w:numId w:val="7"/>
        </w:numPr>
        <w:snapToGrid w:val="0"/>
        <w:spacing w:after="120" w:line="276" w:lineRule="auto"/>
        <w:ind w:left="782" w:hanging="357"/>
        <w:jc w:val="both"/>
        <w:rPr>
          <w:lang w:val="cs-CZ"/>
        </w:rPr>
      </w:pPr>
      <w:r w:rsidRPr="00A808A0">
        <w:rPr>
          <w:lang w:val="cs-CZ"/>
        </w:rPr>
        <w:t xml:space="preserve">Při tvorbě koncepčních materiálů upravujících výběr pracovníků a pracovnic do zahraničních vojenských a civilních misí zahrnovat princip zohledňování vyváženého zastoupení žen </w:t>
      </w:r>
      <w:r w:rsidR="004B3380" w:rsidRPr="00A808A0">
        <w:rPr>
          <w:lang w:val="cs-CZ"/>
        </w:rPr>
        <w:t xml:space="preserve">a mužů </w:t>
      </w:r>
      <w:r w:rsidRPr="00A808A0">
        <w:rPr>
          <w:lang w:val="cs-CZ"/>
        </w:rPr>
        <w:t xml:space="preserve">v zahraničních vojenských a civilních misích včetně vedoucích pozic, </w:t>
      </w:r>
      <w:r w:rsidRPr="00A808A0">
        <w:rPr>
          <w:color w:val="000000"/>
          <w:lang w:val="cs-CZ" w:eastAsia="cs-CZ"/>
        </w:rPr>
        <w:t>zohlednění specifických potřeb žen účastnících se zahraničních civilních a vojenských misí.</w:t>
      </w:r>
    </w:p>
    <w:p w14:paraId="06F07A73" w14:textId="0DD6AABF" w:rsidR="00187667" w:rsidRPr="00A808A0" w:rsidRDefault="00187667" w:rsidP="00A808A0">
      <w:pPr>
        <w:snapToGrid w:val="0"/>
        <w:spacing w:after="120" w:line="276" w:lineRule="auto"/>
        <w:jc w:val="both"/>
        <w:rPr>
          <w:lang w:val="cs-CZ"/>
        </w:rPr>
      </w:pPr>
    </w:p>
    <w:p w14:paraId="049E8678" w14:textId="1306851C" w:rsidR="00187667" w:rsidRDefault="00187667" w:rsidP="009E6013">
      <w:pPr>
        <w:pStyle w:val="Odstavecseseznamem"/>
        <w:numPr>
          <w:ilvl w:val="0"/>
          <w:numId w:val="24"/>
        </w:numPr>
        <w:spacing w:before="120" w:after="120"/>
        <w:jc w:val="both"/>
        <w:rPr>
          <w:b/>
          <w:u w:val="single"/>
          <w:lang w:val="cs-CZ"/>
        </w:rPr>
      </w:pPr>
      <w:r w:rsidRPr="00A808A0">
        <w:rPr>
          <w:b/>
          <w:u w:val="single"/>
          <w:lang w:val="cs-CZ"/>
        </w:rPr>
        <w:t>Gesce MZV</w:t>
      </w:r>
    </w:p>
    <w:p w14:paraId="7C2D5178" w14:textId="77777777" w:rsidR="009E6013" w:rsidRPr="00A808A0" w:rsidRDefault="009E6013" w:rsidP="009E6013">
      <w:pPr>
        <w:pStyle w:val="Odstavecseseznamem"/>
        <w:spacing w:before="120" w:after="120"/>
        <w:ind w:left="1080"/>
        <w:jc w:val="both"/>
        <w:rPr>
          <w:b/>
          <w:u w:val="single"/>
          <w:lang w:val="cs-CZ"/>
        </w:rPr>
      </w:pPr>
    </w:p>
    <w:p w14:paraId="7D1696AB" w14:textId="455262A1" w:rsidR="00F0633E" w:rsidRPr="00A808A0" w:rsidRDefault="00785466" w:rsidP="009E6013">
      <w:pPr>
        <w:spacing w:before="120" w:after="120"/>
        <w:jc w:val="both"/>
        <w:rPr>
          <w:lang w:val="cs-CZ"/>
        </w:rPr>
      </w:pPr>
      <w:r w:rsidRPr="00A808A0">
        <w:rPr>
          <w:lang w:val="cs-CZ"/>
        </w:rPr>
        <w:t xml:space="preserve">Personální odbor MZV </w:t>
      </w:r>
      <w:r w:rsidR="00800C17" w:rsidRPr="00A808A0">
        <w:rPr>
          <w:lang w:val="cs-CZ"/>
        </w:rPr>
        <w:t xml:space="preserve">během výběrového řízení </w:t>
      </w:r>
      <w:r w:rsidRPr="00A808A0">
        <w:rPr>
          <w:lang w:val="cs-CZ"/>
        </w:rPr>
        <w:t xml:space="preserve">důsledně dbá na rovné zastoupení mužů a žen ve volebních pozorovatelských misích OBSE i Evropské unie. Role MZV ve výběrových řízeních do institucí Evropské unie včetně civilních misí EU je </w:t>
      </w:r>
      <w:r w:rsidR="003452E4" w:rsidRPr="00A808A0">
        <w:rPr>
          <w:lang w:val="cs-CZ"/>
        </w:rPr>
        <w:t xml:space="preserve">stále </w:t>
      </w:r>
      <w:r w:rsidRPr="00A808A0">
        <w:rPr>
          <w:lang w:val="cs-CZ"/>
        </w:rPr>
        <w:t xml:space="preserve">pouze nominační, konečný výběr je </w:t>
      </w:r>
      <w:r w:rsidR="00F0633E" w:rsidRPr="00A808A0">
        <w:rPr>
          <w:lang w:val="cs-CZ"/>
        </w:rPr>
        <w:t xml:space="preserve">tak </w:t>
      </w:r>
      <w:r w:rsidRPr="00A808A0">
        <w:rPr>
          <w:lang w:val="cs-CZ"/>
        </w:rPr>
        <w:t>v gesci příslušné mezinárodní organizace/mise. I přes to je genderová vyváženost v nominacích zohledněna a je kladen důraz především na nominaci nejvhodnějšího kandidáta na danou pozi</w:t>
      </w:r>
      <w:r w:rsidR="003452E4" w:rsidRPr="00A808A0">
        <w:rPr>
          <w:lang w:val="cs-CZ"/>
        </w:rPr>
        <w:t xml:space="preserve">ci. </w:t>
      </w:r>
    </w:p>
    <w:p w14:paraId="162106A5" w14:textId="1B95190E" w:rsidR="001B4312" w:rsidRPr="00A808A0" w:rsidRDefault="00331674" w:rsidP="009E6013">
      <w:pPr>
        <w:autoSpaceDE w:val="0"/>
        <w:autoSpaceDN w:val="0"/>
        <w:adjustRightInd w:val="0"/>
        <w:spacing w:before="120" w:after="120"/>
        <w:jc w:val="both"/>
        <w:rPr>
          <w:lang w:val="cs-CZ" w:eastAsia="cs-CZ"/>
        </w:rPr>
      </w:pPr>
      <w:r w:rsidRPr="00A808A0">
        <w:rPr>
          <w:b/>
          <w:lang w:val="cs-CZ" w:eastAsia="cs-CZ"/>
        </w:rPr>
        <w:t>V roce 2020</w:t>
      </w:r>
      <w:r w:rsidR="001B4312" w:rsidRPr="00A808A0">
        <w:rPr>
          <w:b/>
          <w:lang w:val="cs-CZ" w:eastAsia="cs-CZ"/>
        </w:rPr>
        <w:t xml:space="preserve"> vyslala ČR do následujících civilních struktur a misí mezinárodních vládních organizací c</w:t>
      </w:r>
      <w:r w:rsidRPr="00A808A0">
        <w:rPr>
          <w:b/>
          <w:lang w:val="cs-CZ" w:eastAsia="cs-CZ"/>
        </w:rPr>
        <w:t>elkem 89 osob, z toho 27 žen (30,3</w:t>
      </w:r>
      <w:r w:rsidR="00EF09D4" w:rsidRPr="00A808A0">
        <w:rPr>
          <w:b/>
          <w:lang w:val="cs-CZ" w:eastAsia="cs-CZ"/>
        </w:rPr>
        <w:t xml:space="preserve"> </w:t>
      </w:r>
      <w:r w:rsidR="002B4039" w:rsidRPr="00A808A0">
        <w:rPr>
          <w:b/>
          <w:lang w:val="cs-CZ" w:eastAsia="cs-CZ"/>
        </w:rPr>
        <w:t>%</w:t>
      </w:r>
      <w:r w:rsidR="002B4039" w:rsidRPr="00A808A0">
        <w:rPr>
          <w:lang w:val="cs-CZ" w:eastAsia="cs-CZ"/>
        </w:rPr>
        <w:t xml:space="preserve">, viz </w:t>
      </w:r>
      <w:r w:rsidR="00B97101" w:rsidRPr="00A808A0">
        <w:rPr>
          <w:lang w:val="cs-CZ" w:eastAsia="cs-CZ"/>
        </w:rPr>
        <w:t>tabulka č. 1</w:t>
      </w:r>
      <w:r w:rsidR="002B4039" w:rsidRPr="00A808A0">
        <w:rPr>
          <w:lang w:val="cs-CZ" w:eastAsia="cs-CZ"/>
        </w:rPr>
        <w:t>)</w:t>
      </w:r>
      <w:r w:rsidR="00F0633E" w:rsidRPr="00A808A0">
        <w:rPr>
          <w:lang w:val="cs-CZ" w:eastAsia="cs-CZ"/>
        </w:rPr>
        <w:t>.</w:t>
      </w:r>
      <w:r w:rsidRPr="00A808A0">
        <w:rPr>
          <w:lang w:val="cs-CZ" w:eastAsia="cs-CZ"/>
        </w:rPr>
        <w:t xml:space="preserve"> V roce 2019 se jednalo o vy</w:t>
      </w:r>
      <w:r w:rsidR="00105997" w:rsidRPr="00A808A0">
        <w:rPr>
          <w:lang w:val="cs-CZ" w:eastAsia="cs-CZ"/>
        </w:rPr>
        <w:t>slání 97 osob, z toho 24 žen (24</w:t>
      </w:r>
      <w:r w:rsidRPr="00A808A0">
        <w:rPr>
          <w:lang w:val="cs-CZ" w:eastAsia="cs-CZ"/>
        </w:rPr>
        <w:t>,7</w:t>
      </w:r>
      <w:r w:rsidR="00902F68" w:rsidRPr="00A808A0">
        <w:rPr>
          <w:lang w:val="cs-CZ" w:eastAsia="cs-CZ"/>
        </w:rPr>
        <w:t xml:space="preserve"> </w:t>
      </w:r>
      <w:r w:rsidR="001B4312" w:rsidRPr="00A808A0">
        <w:rPr>
          <w:lang w:val="cs-CZ" w:eastAsia="cs-CZ"/>
        </w:rPr>
        <w:t xml:space="preserve">%).  </w:t>
      </w:r>
      <w:r w:rsidRPr="00A808A0">
        <w:rPr>
          <w:lang w:val="cs-CZ" w:eastAsia="cs-CZ"/>
        </w:rPr>
        <w:t>Počet žen, vyslaných v roce 2020</w:t>
      </w:r>
      <w:r w:rsidR="001B4312" w:rsidRPr="00A808A0">
        <w:rPr>
          <w:lang w:val="cs-CZ" w:eastAsia="cs-CZ"/>
        </w:rPr>
        <w:t xml:space="preserve"> tedy převyšuje počet žen vyslanýc</w:t>
      </w:r>
      <w:r w:rsidR="00273D4C" w:rsidRPr="00A808A0">
        <w:rPr>
          <w:lang w:val="cs-CZ" w:eastAsia="cs-CZ"/>
        </w:rPr>
        <w:t>h v předcházejícím roc</w:t>
      </w:r>
      <w:r w:rsidRPr="00A808A0">
        <w:rPr>
          <w:lang w:val="cs-CZ" w:eastAsia="cs-CZ"/>
        </w:rPr>
        <w:t>e 2019 o 5,6</w:t>
      </w:r>
      <w:r w:rsidR="00273D4C" w:rsidRPr="00A808A0">
        <w:rPr>
          <w:lang w:val="cs-CZ" w:eastAsia="cs-CZ"/>
        </w:rPr>
        <w:t xml:space="preserve"> p.</w:t>
      </w:r>
      <w:r w:rsidR="00902F68" w:rsidRPr="00A808A0">
        <w:rPr>
          <w:lang w:val="cs-CZ" w:eastAsia="cs-CZ"/>
        </w:rPr>
        <w:t xml:space="preserve"> </w:t>
      </w:r>
      <w:r w:rsidR="00273D4C" w:rsidRPr="00A808A0">
        <w:rPr>
          <w:lang w:val="cs-CZ" w:eastAsia="cs-CZ"/>
        </w:rPr>
        <w:t>b</w:t>
      </w:r>
      <w:r w:rsidR="001B4312" w:rsidRPr="00A808A0">
        <w:rPr>
          <w:lang w:val="cs-CZ" w:eastAsia="cs-CZ"/>
        </w:rPr>
        <w:t xml:space="preserve">. Příslušná metodika k vysílání </w:t>
      </w:r>
      <w:r w:rsidR="00B97101" w:rsidRPr="00A808A0">
        <w:rPr>
          <w:lang w:val="cs-CZ" w:eastAsia="cs-CZ"/>
        </w:rPr>
        <w:t>českých</w:t>
      </w:r>
      <w:r w:rsidR="001B4312" w:rsidRPr="00A808A0">
        <w:rPr>
          <w:lang w:val="cs-CZ" w:eastAsia="cs-CZ"/>
        </w:rPr>
        <w:t xml:space="preserve"> civilních expertů</w:t>
      </w:r>
      <w:r w:rsidR="001B4312" w:rsidRPr="00A808A0">
        <w:rPr>
          <w:rStyle w:val="Znakapoznpodarou"/>
          <w:lang w:val="cs-CZ" w:eastAsia="cs-CZ"/>
        </w:rPr>
        <w:footnoteReference w:id="3"/>
      </w:r>
      <w:r w:rsidR="001B4312" w:rsidRPr="00A808A0">
        <w:rPr>
          <w:lang w:val="cs-CZ" w:eastAsia="cs-CZ"/>
        </w:rPr>
        <w:t xml:space="preserve"> sice genderový aspekt přímo nezmiňuje, je však zohledňována spolu se specifiky jednotlivých civilních struktur a misí. </w:t>
      </w:r>
      <w:r w:rsidRPr="00A808A0">
        <w:rPr>
          <w:lang w:val="cs-CZ" w:eastAsia="cs-CZ"/>
        </w:rPr>
        <w:t xml:space="preserve">Arbitrární preference rovnosti genderu by mohla vést ke snížení celkové účasti ČR v těchto </w:t>
      </w:r>
      <w:r w:rsidR="00284463" w:rsidRPr="00A808A0">
        <w:rPr>
          <w:lang w:val="cs-CZ" w:eastAsia="cs-CZ"/>
        </w:rPr>
        <w:t>strukturách</w:t>
      </w:r>
      <w:r w:rsidRPr="00A808A0">
        <w:rPr>
          <w:lang w:val="cs-CZ" w:eastAsia="cs-CZ"/>
        </w:rPr>
        <w:t xml:space="preserve"> a misích.</w:t>
      </w:r>
    </w:p>
    <w:p w14:paraId="45971B03" w14:textId="77777777" w:rsidR="00785466" w:rsidRPr="00A808A0" w:rsidRDefault="00785466" w:rsidP="009E6013">
      <w:pPr>
        <w:snapToGrid w:val="0"/>
        <w:spacing w:after="120"/>
        <w:jc w:val="both"/>
        <w:rPr>
          <w:i/>
          <w:iCs/>
          <w:lang w:val="cs-CZ"/>
        </w:rPr>
      </w:pPr>
    </w:p>
    <w:p w14:paraId="50F40BD2" w14:textId="77777777" w:rsidR="00785466" w:rsidRPr="00A808A0" w:rsidRDefault="00785466" w:rsidP="009E6013">
      <w:pPr>
        <w:snapToGrid w:val="0"/>
        <w:spacing w:after="120"/>
        <w:jc w:val="both"/>
        <w:rPr>
          <w:i/>
          <w:iCs/>
          <w:lang w:val="cs-CZ"/>
        </w:rPr>
      </w:pPr>
    </w:p>
    <w:p w14:paraId="63015214" w14:textId="77777777" w:rsidR="00F0633E" w:rsidRPr="00A808A0" w:rsidRDefault="00F0633E" w:rsidP="009E6013">
      <w:pPr>
        <w:snapToGrid w:val="0"/>
        <w:spacing w:after="120"/>
        <w:jc w:val="both"/>
        <w:rPr>
          <w:i/>
          <w:iCs/>
          <w:lang w:val="cs-CZ"/>
        </w:rPr>
      </w:pPr>
    </w:p>
    <w:p w14:paraId="268E6DE1" w14:textId="77777777" w:rsidR="006615ED" w:rsidRPr="00A808A0" w:rsidRDefault="006615ED" w:rsidP="009E6013">
      <w:pPr>
        <w:snapToGrid w:val="0"/>
        <w:spacing w:after="120"/>
        <w:jc w:val="both"/>
        <w:rPr>
          <w:i/>
          <w:iCs/>
          <w:lang w:val="cs-CZ"/>
        </w:rPr>
      </w:pPr>
    </w:p>
    <w:p w14:paraId="3C37E30D" w14:textId="77777777" w:rsidR="002B4039" w:rsidRPr="00A808A0" w:rsidRDefault="002B4039" w:rsidP="009E6013">
      <w:pPr>
        <w:snapToGrid w:val="0"/>
        <w:spacing w:after="120"/>
        <w:jc w:val="both"/>
        <w:rPr>
          <w:i/>
          <w:iCs/>
          <w:lang w:val="cs-CZ"/>
        </w:rPr>
      </w:pPr>
    </w:p>
    <w:p w14:paraId="6BAE9A7C" w14:textId="58729F33" w:rsidR="00F0633E" w:rsidRPr="00A808A0" w:rsidRDefault="002B4039" w:rsidP="009E6013">
      <w:pPr>
        <w:snapToGrid w:val="0"/>
        <w:spacing w:after="120"/>
        <w:jc w:val="both"/>
        <w:rPr>
          <w:b/>
          <w:i/>
          <w:iCs/>
          <w:lang w:val="cs-CZ"/>
        </w:rPr>
      </w:pPr>
      <w:r w:rsidRPr="00A808A0">
        <w:rPr>
          <w:b/>
          <w:i/>
          <w:iCs/>
          <w:lang w:val="cs-CZ"/>
        </w:rPr>
        <w:t xml:space="preserve">Tabulka </w:t>
      </w:r>
      <w:r w:rsidR="00A9760E" w:rsidRPr="00A808A0">
        <w:rPr>
          <w:b/>
          <w:i/>
          <w:iCs/>
          <w:lang w:val="cs-CZ"/>
        </w:rPr>
        <w:t>č. 1: P</w:t>
      </w:r>
      <w:r w:rsidRPr="00A808A0">
        <w:rPr>
          <w:b/>
          <w:i/>
          <w:iCs/>
          <w:lang w:val="cs-CZ"/>
        </w:rPr>
        <w:t>očet vyslaných českých občanů do civilních struktur a musí mez</w:t>
      </w:r>
      <w:r w:rsidR="00B725B4" w:rsidRPr="00A808A0">
        <w:rPr>
          <w:b/>
          <w:i/>
          <w:iCs/>
          <w:lang w:val="cs-CZ"/>
        </w:rPr>
        <w:t>ivládních organizací v roce 2020</w:t>
      </w:r>
    </w:p>
    <w:tbl>
      <w:tblPr>
        <w:tblpPr w:leftFromText="141" w:rightFromText="141" w:vertAnchor="text" w:horzAnchor="margin" w:tblpY="150"/>
        <w:tblW w:w="0" w:type="auto"/>
        <w:tblLayout w:type="fixed"/>
        <w:tblLook w:val="00A0" w:firstRow="1" w:lastRow="0" w:firstColumn="1" w:lastColumn="0" w:noHBand="0" w:noVBand="0"/>
      </w:tblPr>
      <w:tblGrid>
        <w:gridCol w:w="5495"/>
        <w:gridCol w:w="2268"/>
        <w:gridCol w:w="1449"/>
      </w:tblGrid>
      <w:tr w:rsidR="00AE4245" w:rsidRPr="00A808A0" w14:paraId="4E70EE83"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vAlign w:val="center"/>
          </w:tcPr>
          <w:p w14:paraId="14EA0863" w14:textId="77777777" w:rsidR="002B4039" w:rsidRPr="00A808A0" w:rsidRDefault="002B4039" w:rsidP="009E6013">
            <w:pPr>
              <w:autoSpaceDE w:val="0"/>
              <w:autoSpaceDN w:val="0"/>
              <w:adjustRightInd w:val="0"/>
              <w:spacing w:before="120"/>
              <w:jc w:val="center"/>
              <w:rPr>
                <w:b/>
                <w:lang w:val="cs-CZ" w:eastAsia="cs-CZ"/>
              </w:rPr>
            </w:pPr>
            <w:r w:rsidRPr="00A808A0">
              <w:rPr>
                <w:b/>
                <w:lang w:val="cs-CZ" w:eastAsia="cs-CZ"/>
              </w:rPr>
              <w:t>Název struktury</w:t>
            </w:r>
          </w:p>
        </w:tc>
        <w:tc>
          <w:tcPr>
            <w:tcW w:w="2268"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vAlign w:val="center"/>
          </w:tcPr>
          <w:p w14:paraId="715086CB" w14:textId="50C6AEDC" w:rsidR="002B4039" w:rsidRPr="00A808A0" w:rsidRDefault="0079246B" w:rsidP="009E6013">
            <w:pPr>
              <w:autoSpaceDE w:val="0"/>
              <w:autoSpaceDN w:val="0"/>
              <w:adjustRightInd w:val="0"/>
              <w:spacing w:before="120"/>
              <w:jc w:val="center"/>
              <w:rPr>
                <w:b/>
                <w:lang w:val="cs-CZ" w:eastAsia="cs-CZ"/>
              </w:rPr>
            </w:pPr>
            <w:r w:rsidRPr="00A808A0">
              <w:rPr>
                <w:b/>
                <w:lang w:val="cs-CZ" w:eastAsia="cs-CZ"/>
              </w:rPr>
              <w:t xml:space="preserve">Celkem </w:t>
            </w:r>
            <w:r w:rsidR="002B4039" w:rsidRPr="00A808A0">
              <w:rPr>
                <w:b/>
                <w:lang w:val="cs-CZ" w:eastAsia="cs-CZ"/>
              </w:rPr>
              <w:t xml:space="preserve">vyslaných </w:t>
            </w:r>
          </w:p>
        </w:tc>
        <w:tc>
          <w:tcPr>
            <w:tcW w:w="1449"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vAlign w:val="center"/>
          </w:tcPr>
          <w:p w14:paraId="395008DE" w14:textId="673EF70B" w:rsidR="002B4039" w:rsidRPr="00A808A0" w:rsidRDefault="002B4039" w:rsidP="009E6013">
            <w:pPr>
              <w:autoSpaceDE w:val="0"/>
              <w:autoSpaceDN w:val="0"/>
              <w:adjustRightInd w:val="0"/>
              <w:spacing w:before="120"/>
              <w:jc w:val="center"/>
              <w:rPr>
                <w:b/>
                <w:lang w:val="cs-CZ" w:eastAsia="cs-CZ"/>
              </w:rPr>
            </w:pPr>
            <w:r w:rsidRPr="00A808A0">
              <w:rPr>
                <w:b/>
                <w:lang w:val="cs-CZ" w:eastAsia="cs-CZ"/>
              </w:rPr>
              <w:t>Z toho žen</w:t>
            </w:r>
          </w:p>
        </w:tc>
      </w:tr>
      <w:tr w:rsidR="00AE4245" w:rsidRPr="00A808A0" w14:paraId="2149AFAC"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5D7AE477" w14:textId="4325A5FC" w:rsidR="002B4039" w:rsidRPr="00A808A0" w:rsidRDefault="002B4039" w:rsidP="009E6013">
            <w:pPr>
              <w:autoSpaceDE w:val="0"/>
              <w:autoSpaceDN w:val="0"/>
              <w:adjustRightInd w:val="0"/>
              <w:jc w:val="center"/>
              <w:rPr>
                <w:lang w:val="cs-CZ" w:eastAsia="cs-CZ"/>
              </w:rPr>
            </w:pPr>
            <w:r w:rsidRPr="00A808A0">
              <w:rPr>
                <w:lang w:val="cs-CZ" w:eastAsia="cs-CZ"/>
              </w:rPr>
              <w:t>ESVA,</w:t>
            </w:r>
            <w:r w:rsidR="00F0633E" w:rsidRPr="00A808A0">
              <w:rPr>
                <w:lang w:val="cs-CZ" w:eastAsia="cs-CZ"/>
              </w:rPr>
              <w:t xml:space="preserve"> </w:t>
            </w:r>
            <w:r w:rsidRPr="00A808A0">
              <w:rPr>
                <w:lang w:val="cs-CZ" w:eastAsia="cs-CZ"/>
              </w:rPr>
              <w:t>EDA,</w:t>
            </w:r>
            <w:r w:rsidR="00F0633E" w:rsidRPr="00A808A0">
              <w:rPr>
                <w:lang w:val="cs-CZ" w:eastAsia="cs-CZ"/>
              </w:rPr>
              <w:t xml:space="preserve"> </w:t>
            </w:r>
            <w:r w:rsidRPr="00A808A0">
              <w:rPr>
                <w:lang w:val="cs-CZ" w:eastAsia="cs-CZ"/>
              </w:rPr>
              <w:t>GNSS,</w:t>
            </w:r>
            <w:r w:rsidR="00F0633E" w:rsidRPr="00A808A0">
              <w:rPr>
                <w:lang w:val="cs-CZ" w:eastAsia="cs-CZ"/>
              </w:rPr>
              <w:t xml:space="preserve"> </w:t>
            </w:r>
            <w:r w:rsidRPr="00A808A0">
              <w:rPr>
                <w:lang w:val="cs-CZ" w:eastAsia="cs-CZ"/>
              </w:rPr>
              <w:t>ERCC,</w:t>
            </w:r>
            <w:r w:rsidR="00F0633E" w:rsidRPr="00A808A0">
              <w:rPr>
                <w:lang w:val="cs-CZ" w:eastAsia="cs-CZ"/>
              </w:rPr>
              <w:t xml:space="preserve"> </w:t>
            </w:r>
            <w:r w:rsidRPr="00A808A0">
              <w:rPr>
                <w:lang w:val="cs-CZ" w:eastAsia="cs-CZ"/>
              </w:rPr>
              <w:t>EU stáž vojenský štáb</w:t>
            </w:r>
          </w:p>
        </w:tc>
        <w:tc>
          <w:tcPr>
            <w:tcW w:w="2268" w:type="dxa"/>
            <w:tcBorders>
              <w:top w:val="single" w:sz="6" w:space="0" w:color="000000"/>
              <w:left w:val="single" w:sz="6" w:space="0" w:color="000000"/>
              <w:bottom w:val="single" w:sz="6" w:space="0" w:color="000000"/>
              <w:right w:val="single" w:sz="6" w:space="0" w:color="000000"/>
            </w:tcBorders>
            <w:vAlign w:val="center"/>
          </w:tcPr>
          <w:p w14:paraId="4E9B9101" w14:textId="117EF443" w:rsidR="002B4039" w:rsidRPr="00A808A0" w:rsidRDefault="00331674" w:rsidP="009E6013">
            <w:pPr>
              <w:autoSpaceDE w:val="0"/>
              <w:autoSpaceDN w:val="0"/>
              <w:adjustRightInd w:val="0"/>
              <w:jc w:val="center"/>
              <w:rPr>
                <w:lang w:val="cs-CZ" w:eastAsia="cs-CZ"/>
              </w:rPr>
            </w:pPr>
            <w:r w:rsidRPr="00A808A0">
              <w:rPr>
                <w:lang w:val="cs-CZ" w:eastAsia="cs-CZ"/>
              </w:rPr>
              <w:t>16</w:t>
            </w:r>
          </w:p>
        </w:tc>
        <w:tc>
          <w:tcPr>
            <w:tcW w:w="1449" w:type="dxa"/>
            <w:tcBorders>
              <w:top w:val="single" w:sz="6" w:space="0" w:color="000000"/>
              <w:left w:val="single" w:sz="6" w:space="0" w:color="000000"/>
              <w:bottom w:val="single" w:sz="6" w:space="0" w:color="000000"/>
              <w:right w:val="single" w:sz="6" w:space="0" w:color="000000"/>
            </w:tcBorders>
            <w:vAlign w:val="center"/>
          </w:tcPr>
          <w:p w14:paraId="4116C328" w14:textId="731EB892" w:rsidR="002B4039" w:rsidRPr="00A808A0" w:rsidRDefault="00331674" w:rsidP="009E6013">
            <w:pPr>
              <w:autoSpaceDE w:val="0"/>
              <w:autoSpaceDN w:val="0"/>
              <w:adjustRightInd w:val="0"/>
              <w:jc w:val="center"/>
              <w:rPr>
                <w:lang w:val="cs-CZ" w:eastAsia="cs-CZ"/>
              </w:rPr>
            </w:pPr>
            <w:r w:rsidRPr="00A808A0">
              <w:rPr>
                <w:lang w:val="cs-CZ" w:eastAsia="cs-CZ"/>
              </w:rPr>
              <w:t>8</w:t>
            </w:r>
          </w:p>
        </w:tc>
      </w:tr>
      <w:tr w:rsidR="00AE4245" w:rsidRPr="00A808A0" w14:paraId="10EF11BC"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22E520AB" w14:textId="77777777" w:rsidR="002B4039" w:rsidRPr="00A808A0" w:rsidRDefault="002B4039" w:rsidP="009E6013">
            <w:pPr>
              <w:autoSpaceDE w:val="0"/>
              <w:autoSpaceDN w:val="0"/>
              <w:adjustRightInd w:val="0"/>
              <w:jc w:val="center"/>
              <w:rPr>
                <w:lang w:val="cs-CZ" w:eastAsia="cs-CZ"/>
              </w:rPr>
            </w:pPr>
            <w:r w:rsidRPr="00A808A0">
              <w:rPr>
                <w:lang w:val="cs-CZ" w:eastAsia="cs-CZ"/>
              </w:rPr>
              <w:t>EULEX Kosovo</w:t>
            </w:r>
          </w:p>
        </w:tc>
        <w:tc>
          <w:tcPr>
            <w:tcW w:w="2268" w:type="dxa"/>
            <w:tcBorders>
              <w:top w:val="single" w:sz="6" w:space="0" w:color="000000"/>
              <w:left w:val="single" w:sz="6" w:space="0" w:color="000000"/>
              <w:bottom w:val="single" w:sz="6" w:space="0" w:color="000000"/>
              <w:right w:val="single" w:sz="6" w:space="0" w:color="000000"/>
            </w:tcBorders>
            <w:vAlign w:val="center"/>
          </w:tcPr>
          <w:p w14:paraId="4B230907" w14:textId="7CCDAF4E" w:rsidR="002B4039" w:rsidRPr="00A808A0" w:rsidRDefault="00331674" w:rsidP="009E6013">
            <w:pPr>
              <w:autoSpaceDE w:val="0"/>
              <w:autoSpaceDN w:val="0"/>
              <w:adjustRightInd w:val="0"/>
              <w:jc w:val="center"/>
              <w:rPr>
                <w:lang w:val="cs-CZ" w:eastAsia="cs-CZ"/>
              </w:rPr>
            </w:pPr>
            <w:r w:rsidRPr="00A808A0">
              <w:rPr>
                <w:lang w:val="cs-CZ" w:eastAsia="cs-CZ"/>
              </w:rPr>
              <w:t>4</w:t>
            </w:r>
          </w:p>
        </w:tc>
        <w:tc>
          <w:tcPr>
            <w:tcW w:w="1449" w:type="dxa"/>
            <w:tcBorders>
              <w:top w:val="single" w:sz="6" w:space="0" w:color="000000"/>
              <w:left w:val="single" w:sz="6" w:space="0" w:color="000000"/>
              <w:bottom w:val="single" w:sz="6" w:space="0" w:color="000000"/>
              <w:right w:val="single" w:sz="6" w:space="0" w:color="000000"/>
            </w:tcBorders>
            <w:vAlign w:val="center"/>
          </w:tcPr>
          <w:p w14:paraId="1A1E2145" w14:textId="77777777" w:rsidR="002B4039" w:rsidRPr="00A808A0" w:rsidRDefault="002B4039" w:rsidP="009E6013">
            <w:pPr>
              <w:autoSpaceDE w:val="0"/>
              <w:autoSpaceDN w:val="0"/>
              <w:adjustRightInd w:val="0"/>
              <w:jc w:val="center"/>
              <w:rPr>
                <w:lang w:val="cs-CZ" w:eastAsia="cs-CZ"/>
              </w:rPr>
            </w:pPr>
            <w:r w:rsidRPr="00A808A0">
              <w:rPr>
                <w:lang w:val="cs-CZ" w:eastAsia="cs-CZ"/>
              </w:rPr>
              <w:t>0</w:t>
            </w:r>
          </w:p>
        </w:tc>
      </w:tr>
      <w:tr w:rsidR="00AE4245" w:rsidRPr="00A808A0" w14:paraId="63D4CE5C"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3E881F94" w14:textId="77777777" w:rsidR="002B4039" w:rsidRPr="00A808A0" w:rsidRDefault="002B4039" w:rsidP="009E6013">
            <w:pPr>
              <w:autoSpaceDE w:val="0"/>
              <w:autoSpaceDN w:val="0"/>
              <w:adjustRightInd w:val="0"/>
              <w:jc w:val="center"/>
              <w:rPr>
                <w:lang w:val="cs-CZ" w:eastAsia="cs-CZ"/>
              </w:rPr>
            </w:pPr>
            <w:r w:rsidRPr="00A808A0">
              <w:rPr>
                <w:lang w:val="cs-CZ" w:eastAsia="cs-CZ"/>
              </w:rPr>
              <w:t>EU CAP Sahel Niger</w:t>
            </w:r>
          </w:p>
        </w:tc>
        <w:tc>
          <w:tcPr>
            <w:tcW w:w="2268" w:type="dxa"/>
            <w:tcBorders>
              <w:top w:val="single" w:sz="6" w:space="0" w:color="000000"/>
              <w:left w:val="single" w:sz="6" w:space="0" w:color="000000"/>
              <w:bottom w:val="single" w:sz="6" w:space="0" w:color="000000"/>
              <w:right w:val="single" w:sz="6" w:space="0" w:color="000000"/>
            </w:tcBorders>
            <w:vAlign w:val="center"/>
          </w:tcPr>
          <w:p w14:paraId="07305925" w14:textId="77777777" w:rsidR="002B4039" w:rsidRPr="00A808A0" w:rsidRDefault="002B4039" w:rsidP="009E6013">
            <w:pPr>
              <w:autoSpaceDE w:val="0"/>
              <w:autoSpaceDN w:val="0"/>
              <w:adjustRightInd w:val="0"/>
              <w:jc w:val="center"/>
              <w:rPr>
                <w:lang w:val="cs-CZ" w:eastAsia="cs-CZ"/>
              </w:rPr>
            </w:pPr>
            <w:r w:rsidRPr="00A808A0">
              <w:rPr>
                <w:lang w:val="cs-CZ" w:eastAsia="cs-CZ"/>
              </w:rPr>
              <w:t>1</w:t>
            </w:r>
          </w:p>
        </w:tc>
        <w:tc>
          <w:tcPr>
            <w:tcW w:w="1449" w:type="dxa"/>
            <w:tcBorders>
              <w:top w:val="single" w:sz="6" w:space="0" w:color="000000"/>
              <w:left w:val="single" w:sz="6" w:space="0" w:color="000000"/>
              <w:bottom w:val="single" w:sz="6" w:space="0" w:color="000000"/>
              <w:right w:val="single" w:sz="6" w:space="0" w:color="000000"/>
            </w:tcBorders>
            <w:vAlign w:val="center"/>
          </w:tcPr>
          <w:p w14:paraId="64D894E4" w14:textId="77777777" w:rsidR="002B4039" w:rsidRPr="00A808A0" w:rsidRDefault="002B4039" w:rsidP="009E6013">
            <w:pPr>
              <w:autoSpaceDE w:val="0"/>
              <w:autoSpaceDN w:val="0"/>
              <w:adjustRightInd w:val="0"/>
              <w:jc w:val="center"/>
              <w:rPr>
                <w:lang w:val="cs-CZ" w:eastAsia="cs-CZ"/>
              </w:rPr>
            </w:pPr>
            <w:r w:rsidRPr="00A808A0">
              <w:rPr>
                <w:lang w:val="cs-CZ" w:eastAsia="cs-CZ"/>
              </w:rPr>
              <w:t>1</w:t>
            </w:r>
          </w:p>
        </w:tc>
      </w:tr>
      <w:tr w:rsidR="00AE4245" w:rsidRPr="00A808A0" w14:paraId="286BBF38"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75FD8FF6" w14:textId="77777777" w:rsidR="002B4039" w:rsidRPr="00A808A0" w:rsidRDefault="002B4039" w:rsidP="009E6013">
            <w:pPr>
              <w:autoSpaceDE w:val="0"/>
              <w:autoSpaceDN w:val="0"/>
              <w:adjustRightInd w:val="0"/>
              <w:jc w:val="center"/>
              <w:rPr>
                <w:lang w:val="cs-CZ" w:eastAsia="cs-CZ"/>
              </w:rPr>
            </w:pPr>
            <w:r w:rsidRPr="00A808A0">
              <w:rPr>
                <w:lang w:val="cs-CZ" w:eastAsia="cs-CZ"/>
              </w:rPr>
              <w:t>EUMM Georgia</w:t>
            </w:r>
          </w:p>
        </w:tc>
        <w:tc>
          <w:tcPr>
            <w:tcW w:w="2268" w:type="dxa"/>
            <w:tcBorders>
              <w:top w:val="single" w:sz="6" w:space="0" w:color="000000"/>
              <w:left w:val="single" w:sz="6" w:space="0" w:color="000000"/>
              <w:bottom w:val="single" w:sz="6" w:space="0" w:color="000000"/>
              <w:right w:val="single" w:sz="6" w:space="0" w:color="000000"/>
            </w:tcBorders>
            <w:vAlign w:val="center"/>
          </w:tcPr>
          <w:p w14:paraId="1B88C9D4" w14:textId="22D70E45" w:rsidR="002B4039" w:rsidRPr="00A808A0" w:rsidRDefault="00331674" w:rsidP="009E6013">
            <w:pPr>
              <w:autoSpaceDE w:val="0"/>
              <w:autoSpaceDN w:val="0"/>
              <w:adjustRightInd w:val="0"/>
              <w:jc w:val="center"/>
              <w:rPr>
                <w:lang w:val="cs-CZ" w:eastAsia="cs-CZ"/>
              </w:rPr>
            </w:pPr>
            <w:r w:rsidRPr="00A808A0">
              <w:rPr>
                <w:lang w:val="cs-CZ" w:eastAsia="cs-CZ"/>
              </w:rPr>
              <w:t>9</w:t>
            </w:r>
          </w:p>
        </w:tc>
        <w:tc>
          <w:tcPr>
            <w:tcW w:w="1449" w:type="dxa"/>
            <w:tcBorders>
              <w:top w:val="single" w:sz="6" w:space="0" w:color="000000"/>
              <w:left w:val="single" w:sz="6" w:space="0" w:color="000000"/>
              <w:bottom w:val="single" w:sz="6" w:space="0" w:color="000000"/>
              <w:right w:val="single" w:sz="6" w:space="0" w:color="000000"/>
            </w:tcBorders>
            <w:vAlign w:val="center"/>
          </w:tcPr>
          <w:p w14:paraId="69B38E6C" w14:textId="32805CBF" w:rsidR="002B4039" w:rsidRPr="00A808A0" w:rsidRDefault="00331674" w:rsidP="009E6013">
            <w:pPr>
              <w:autoSpaceDE w:val="0"/>
              <w:autoSpaceDN w:val="0"/>
              <w:adjustRightInd w:val="0"/>
              <w:jc w:val="center"/>
              <w:rPr>
                <w:lang w:val="cs-CZ" w:eastAsia="cs-CZ"/>
              </w:rPr>
            </w:pPr>
            <w:r w:rsidRPr="00A808A0">
              <w:rPr>
                <w:lang w:val="cs-CZ" w:eastAsia="cs-CZ"/>
              </w:rPr>
              <w:t>3</w:t>
            </w:r>
          </w:p>
        </w:tc>
      </w:tr>
      <w:tr w:rsidR="00AE4245" w:rsidRPr="00A808A0" w14:paraId="3C9ABB82"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48939618" w14:textId="77777777" w:rsidR="002B4039" w:rsidRPr="00A808A0" w:rsidRDefault="002B4039" w:rsidP="009E6013">
            <w:pPr>
              <w:autoSpaceDE w:val="0"/>
              <w:autoSpaceDN w:val="0"/>
              <w:adjustRightInd w:val="0"/>
              <w:jc w:val="center"/>
              <w:rPr>
                <w:lang w:val="cs-CZ" w:eastAsia="cs-CZ"/>
              </w:rPr>
            </w:pPr>
            <w:r w:rsidRPr="00A808A0">
              <w:rPr>
                <w:lang w:val="cs-CZ" w:eastAsia="cs-CZ"/>
              </w:rPr>
              <w:t>EUAM Ukraine</w:t>
            </w:r>
          </w:p>
        </w:tc>
        <w:tc>
          <w:tcPr>
            <w:tcW w:w="2268" w:type="dxa"/>
            <w:tcBorders>
              <w:top w:val="single" w:sz="6" w:space="0" w:color="000000"/>
              <w:left w:val="single" w:sz="6" w:space="0" w:color="000000"/>
              <w:bottom w:val="single" w:sz="6" w:space="0" w:color="000000"/>
              <w:right w:val="single" w:sz="6" w:space="0" w:color="000000"/>
            </w:tcBorders>
            <w:vAlign w:val="center"/>
          </w:tcPr>
          <w:p w14:paraId="60F1ECE2" w14:textId="21A52AAC" w:rsidR="002B4039" w:rsidRPr="00A808A0" w:rsidRDefault="00331674" w:rsidP="009E6013">
            <w:pPr>
              <w:autoSpaceDE w:val="0"/>
              <w:autoSpaceDN w:val="0"/>
              <w:adjustRightInd w:val="0"/>
              <w:jc w:val="center"/>
              <w:rPr>
                <w:lang w:val="cs-CZ" w:eastAsia="cs-CZ"/>
              </w:rPr>
            </w:pPr>
            <w:r w:rsidRPr="00A808A0">
              <w:rPr>
                <w:lang w:val="cs-CZ" w:eastAsia="cs-CZ"/>
              </w:rPr>
              <w:t>9</w:t>
            </w:r>
          </w:p>
        </w:tc>
        <w:tc>
          <w:tcPr>
            <w:tcW w:w="1449" w:type="dxa"/>
            <w:tcBorders>
              <w:top w:val="single" w:sz="6" w:space="0" w:color="000000"/>
              <w:left w:val="single" w:sz="6" w:space="0" w:color="000000"/>
              <w:bottom w:val="single" w:sz="6" w:space="0" w:color="000000"/>
              <w:right w:val="single" w:sz="6" w:space="0" w:color="000000"/>
            </w:tcBorders>
            <w:vAlign w:val="center"/>
          </w:tcPr>
          <w:p w14:paraId="3C1995F5" w14:textId="1D6412A6" w:rsidR="002B4039" w:rsidRPr="00A808A0" w:rsidRDefault="00331674" w:rsidP="009E6013">
            <w:pPr>
              <w:autoSpaceDE w:val="0"/>
              <w:autoSpaceDN w:val="0"/>
              <w:adjustRightInd w:val="0"/>
              <w:jc w:val="center"/>
              <w:rPr>
                <w:lang w:val="cs-CZ" w:eastAsia="cs-CZ"/>
              </w:rPr>
            </w:pPr>
            <w:r w:rsidRPr="00A808A0">
              <w:rPr>
                <w:lang w:val="cs-CZ" w:eastAsia="cs-CZ"/>
              </w:rPr>
              <w:t>3</w:t>
            </w:r>
          </w:p>
        </w:tc>
      </w:tr>
      <w:tr w:rsidR="00AE4245" w:rsidRPr="00A808A0" w14:paraId="1639EEA5"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17184C76" w14:textId="77777777" w:rsidR="002B4039" w:rsidRPr="00A808A0" w:rsidRDefault="002B4039" w:rsidP="009E6013">
            <w:pPr>
              <w:autoSpaceDE w:val="0"/>
              <w:autoSpaceDN w:val="0"/>
              <w:adjustRightInd w:val="0"/>
              <w:jc w:val="center"/>
              <w:rPr>
                <w:lang w:val="cs-CZ" w:eastAsia="cs-CZ"/>
              </w:rPr>
            </w:pPr>
            <w:r w:rsidRPr="00A808A0">
              <w:rPr>
                <w:lang w:val="cs-CZ" w:eastAsia="cs-CZ"/>
              </w:rPr>
              <w:t>EUPOL COPPS</w:t>
            </w:r>
          </w:p>
        </w:tc>
        <w:tc>
          <w:tcPr>
            <w:tcW w:w="2268" w:type="dxa"/>
            <w:tcBorders>
              <w:top w:val="single" w:sz="6" w:space="0" w:color="000000"/>
              <w:left w:val="single" w:sz="6" w:space="0" w:color="000000"/>
              <w:bottom w:val="single" w:sz="6" w:space="0" w:color="000000"/>
              <w:right w:val="single" w:sz="6" w:space="0" w:color="000000"/>
            </w:tcBorders>
            <w:vAlign w:val="center"/>
          </w:tcPr>
          <w:p w14:paraId="1A3A035E" w14:textId="77777777" w:rsidR="002B4039" w:rsidRPr="00A808A0" w:rsidRDefault="002B4039" w:rsidP="009E6013">
            <w:pPr>
              <w:autoSpaceDE w:val="0"/>
              <w:autoSpaceDN w:val="0"/>
              <w:adjustRightInd w:val="0"/>
              <w:jc w:val="center"/>
              <w:rPr>
                <w:lang w:val="cs-CZ" w:eastAsia="cs-CZ"/>
              </w:rPr>
            </w:pPr>
            <w:r w:rsidRPr="00A808A0">
              <w:rPr>
                <w:lang w:val="cs-CZ" w:eastAsia="cs-CZ"/>
              </w:rPr>
              <w:t>1</w:t>
            </w:r>
          </w:p>
        </w:tc>
        <w:tc>
          <w:tcPr>
            <w:tcW w:w="1449" w:type="dxa"/>
            <w:tcBorders>
              <w:top w:val="single" w:sz="6" w:space="0" w:color="000000"/>
              <w:left w:val="single" w:sz="6" w:space="0" w:color="000000"/>
              <w:bottom w:val="single" w:sz="6" w:space="0" w:color="000000"/>
              <w:right w:val="single" w:sz="6" w:space="0" w:color="000000"/>
            </w:tcBorders>
            <w:vAlign w:val="center"/>
          </w:tcPr>
          <w:p w14:paraId="3E9FDEFA" w14:textId="77777777" w:rsidR="002B4039" w:rsidRPr="00A808A0" w:rsidRDefault="002B4039" w:rsidP="009E6013">
            <w:pPr>
              <w:autoSpaceDE w:val="0"/>
              <w:autoSpaceDN w:val="0"/>
              <w:adjustRightInd w:val="0"/>
              <w:jc w:val="center"/>
              <w:rPr>
                <w:lang w:val="cs-CZ" w:eastAsia="cs-CZ"/>
              </w:rPr>
            </w:pPr>
            <w:r w:rsidRPr="00A808A0">
              <w:rPr>
                <w:lang w:val="cs-CZ" w:eastAsia="cs-CZ"/>
              </w:rPr>
              <w:t>0</w:t>
            </w:r>
          </w:p>
        </w:tc>
      </w:tr>
      <w:tr w:rsidR="00AE4245" w:rsidRPr="00A808A0" w14:paraId="544AA930"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4784F0E7" w14:textId="77777777" w:rsidR="002B4039" w:rsidRPr="00A808A0" w:rsidRDefault="002B4039" w:rsidP="009E6013">
            <w:pPr>
              <w:autoSpaceDE w:val="0"/>
              <w:autoSpaceDN w:val="0"/>
              <w:adjustRightInd w:val="0"/>
              <w:jc w:val="center"/>
              <w:rPr>
                <w:lang w:val="cs-CZ" w:eastAsia="cs-CZ"/>
              </w:rPr>
            </w:pPr>
            <w:r w:rsidRPr="00A808A0">
              <w:rPr>
                <w:lang w:val="cs-CZ" w:eastAsia="cs-CZ"/>
              </w:rPr>
              <w:t>EUROJUST</w:t>
            </w:r>
          </w:p>
        </w:tc>
        <w:tc>
          <w:tcPr>
            <w:tcW w:w="2268" w:type="dxa"/>
            <w:tcBorders>
              <w:top w:val="single" w:sz="6" w:space="0" w:color="000000"/>
              <w:left w:val="single" w:sz="6" w:space="0" w:color="000000"/>
              <w:bottom w:val="single" w:sz="6" w:space="0" w:color="000000"/>
              <w:right w:val="single" w:sz="6" w:space="0" w:color="000000"/>
            </w:tcBorders>
            <w:vAlign w:val="center"/>
          </w:tcPr>
          <w:p w14:paraId="521ABA43" w14:textId="5F881497" w:rsidR="002B4039" w:rsidRPr="00A808A0" w:rsidRDefault="00331674" w:rsidP="009E6013">
            <w:pPr>
              <w:autoSpaceDE w:val="0"/>
              <w:autoSpaceDN w:val="0"/>
              <w:adjustRightInd w:val="0"/>
              <w:jc w:val="center"/>
              <w:rPr>
                <w:lang w:val="cs-CZ" w:eastAsia="cs-CZ"/>
              </w:rPr>
            </w:pPr>
            <w:r w:rsidRPr="00A808A0">
              <w:rPr>
                <w:lang w:val="cs-CZ" w:eastAsia="cs-CZ"/>
              </w:rPr>
              <w:t>3</w:t>
            </w:r>
          </w:p>
        </w:tc>
        <w:tc>
          <w:tcPr>
            <w:tcW w:w="1449" w:type="dxa"/>
            <w:tcBorders>
              <w:top w:val="single" w:sz="6" w:space="0" w:color="000000"/>
              <w:left w:val="single" w:sz="6" w:space="0" w:color="000000"/>
              <w:bottom w:val="single" w:sz="6" w:space="0" w:color="000000"/>
              <w:right w:val="single" w:sz="6" w:space="0" w:color="000000"/>
            </w:tcBorders>
            <w:vAlign w:val="center"/>
          </w:tcPr>
          <w:p w14:paraId="66688F34" w14:textId="2614AC44" w:rsidR="002B4039" w:rsidRPr="00A808A0" w:rsidRDefault="00331674" w:rsidP="009E6013">
            <w:pPr>
              <w:autoSpaceDE w:val="0"/>
              <w:autoSpaceDN w:val="0"/>
              <w:adjustRightInd w:val="0"/>
              <w:jc w:val="center"/>
              <w:rPr>
                <w:lang w:val="cs-CZ" w:eastAsia="cs-CZ"/>
              </w:rPr>
            </w:pPr>
            <w:r w:rsidRPr="00A808A0">
              <w:rPr>
                <w:lang w:val="cs-CZ" w:eastAsia="cs-CZ"/>
              </w:rPr>
              <w:t>2</w:t>
            </w:r>
          </w:p>
        </w:tc>
      </w:tr>
      <w:tr w:rsidR="00AE4245" w:rsidRPr="00A808A0" w14:paraId="598A7057"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4F497479" w14:textId="77777777" w:rsidR="002B4039" w:rsidRPr="00A808A0" w:rsidRDefault="002B4039" w:rsidP="009E6013">
            <w:pPr>
              <w:autoSpaceDE w:val="0"/>
              <w:autoSpaceDN w:val="0"/>
              <w:adjustRightInd w:val="0"/>
              <w:jc w:val="center"/>
              <w:rPr>
                <w:lang w:val="cs-CZ" w:eastAsia="cs-CZ"/>
              </w:rPr>
            </w:pPr>
            <w:r w:rsidRPr="00A808A0">
              <w:rPr>
                <w:lang w:val="cs-CZ" w:eastAsia="cs-CZ"/>
              </w:rPr>
              <w:t>EUROPOL</w:t>
            </w:r>
          </w:p>
        </w:tc>
        <w:tc>
          <w:tcPr>
            <w:tcW w:w="2268" w:type="dxa"/>
            <w:tcBorders>
              <w:top w:val="single" w:sz="6" w:space="0" w:color="000000"/>
              <w:left w:val="single" w:sz="6" w:space="0" w:color="000000"/>
              <w:bottom w:val="single" w:sz="6" w:space="0" w:color="000000"/>
              <w:right w:val="single" w:sz="6" w:space="0" w:color="000000"/>
            </w:tcBorders>
            <w:vAlign w:val="center"/>
          </w:tcPr>
          <w:p w14:paraId="50061E39" w14:textId="77777777" w:rsidR="002B4039" w:rsidRPr="00A808A0" w:rsidRDefault="002B4039" w:rsidP="009E6013">
            <w:pPr>
              <w:autoSpaceDE w:val="0"/>
              <w:autoSpaceDN w:val="0"/>
              <w:adjustRightInd w:val="0"/>
              <w:jc w:val="center"/>
              <w:rPr>
                <w:lang w:val="cs-CZ" w:eastAsia="cs-CZ"/>
              </w:rPr>
            </w:pPr>
            <w:r w:rsidRPr="00A808A0">
              <w:rPr>
                <w:lang w:val="cs-CZ" w:eastAsia="cs-CZ"/>
              </w:rPr>
              <w:t>4</w:t>
            </w:r>
          </w:p>
        </w:tc>
        <w:tc>
          <w:tcPr>
            <w:tcW w:w="1449" w:type="dxa"/>
            <w:tcBorders>
              <w:top w:val="single" w:sz="6" w:space="0" w:color="000000"/>
              <w:left w:val="single" w:sz="6" w:space="0" w:color="000000"/>
              <w:bottom w:val="single" w:sz="6" w:space="0" w:color="000000"/>
              <w:right w:val="single" w:sz="6" w:space="0" w:color="000000"/>
            </w:tcBorders>
            <w:vAlign w:val="center"/>
          </w:tcPr>
          <w:p w14:paraId="15C24980" w14:textId="77777777" w:rsidR="002B4039" w:rsidRPr="00A808A0" w:rsidRDefault="002B4039" w:rsidP="009E6013">
            <w:pPr>
              <w:autoSpaceDE w:val="0"/>
              <w:autoSpaceDN w:val="0"/>
              <w:adjustRightInd w:val="0"/>
              <w:jc w:val="center"/>
              <w:rPr>
                <w:lang w:val="cs-CZ" w:eastAsia="cs-CZ"/>
              </w:rPr>
            </w:pPr>
            <w:r w:rsidRPr="00A808A0">
              <w:rPr>
                <w:lang w:val="cs-CZ" w:eastAsia="cs-CZ"/>
              </w:rPr>
              <w:t>0</w:t>
            </w:r>
          </w:p>
        </w:tc>
      </w:tr>
      <w:tr w:rsidR="00331674" w:rsidRPr="00A808A0" w14:paraId="054730F9"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3B549740" w14:textId="7AA40D2C" w:rsidR="00331674" w:rsidRPr="00A808A0" w:rsidRDefault="00331674" w:rsidP="009E6013">
            <w:pPr>
              <w:autoSpaceDE w:val="0"/>
              <w:autoSpaceDN w:val="0"/>
              <w:adjustRightInd w:val="0"/>
              <w:jc w:val="center"/>
              <w:rPr>
                <w:lang w:val="cs-CZ" w:eastAsia="cs-CZ"/>
              </w:rPr>
            </w:pPr>
            <w:r w:rsidRPr="00A808A0">
              <w:rPr>
                <w:lang w:val="cs-CZ" w:eastAsia="cs-CZ"/>
              </w:rPr>
              <w:t>ERCC</w:t>
            </w:r>
          </w:p>
        </w:tc>
        <w:tc>
          <w:tcPr>
            <w:tcW w:w="2268" w:type="dxa"/>
            <w:tcBorders>
              <w:top w:val="single" w:sz="6" w:space="0" w:color="000000"/>
              <w:left w:val="single" w:sz="6" w:space="0" w:color="000000"/>
              <w:bottom w:val="single" w:sz="6" w:space="0" w:color="000000"/>
              <w:right w:val="single" w:sz="6" w:space="0" w:color="000000"/>
            </w:tcBorders>
            <w:vAlign w:val="center"/>
          </w:tcPr>
          <w:p w14:paraId="373B523C" w14:textId="0463D918" w:rsidR="00331674" w:rsidRPr="00A808A0" w:rsidRDefault="00331674" w:rsidP="009E6013">
            <w:pPr>
              <w:autoSpaceDE w:val="0"/>
              <w:autoSpaceDN w:val="0"/>
              <w:adjustRightInd w:val="0"/>
              <w:jc w:val="center"/>
              <w:rPr>
                <w:lang w:val="cs-CZ" w:eastAsia="cs-CZ"/>
              </w:rPr>
            </w:pPr>
            <w:r w:rsidRPr="00A808A0">
              <w:rPr>
                <w:lang w:val="cs-CZ" w:eastAsia="cs-CZ"/>
              </w:rPr>
              <w:t>1</w:t>
            </w:r>
          </w:p>
        </w:tc>
        <w:tc>
          <w:tcPr>
            <w:tcW w:w="1449" w:type="dxa"/>
            <w:tcBorders>
              <w:top w:val="single" w:sz="6" w:space="0" w:color="000000"/>
              <w:left w:val="single" w:sz="6" w:space="0" w:color="000000"/>
              <w:bottom w:val="single" w:sz="6" w:space="0" w:color="000000"/>
              <w:right w:val="single" w:sz="6" w:space="0" w:color="000000"/>
            </w:tcBorders>
            <w:vAlign w:val="center"/>
          </w:tcPr>
          <w:p w14:paraId="79CE956B" w14:textId="54C5177D" w:rsidR="00331674" w:rsidRPr="00A808A0" w:rsidRDefault="00331674" w:rsidP="009E6013">
            <w:pPr>
              <w:autoSpaceDE w:val="0"/>
              <w:autoSpaceDN w:val="0"/>
              <w:adjustRightInd w:val="0"/>
              <w:jc w:val="center"/>
              <w:rPr>
                <w:lang w:val="cs-CZ" w:eastAsia="cs-CZ"/>
              </w:rPr>
            </w:pPr>
            <w:r w:rsidRPr="00A808A0">
              <w:rPr>
                <w:lang w:val="cs-CZ" w:eastAsia="cs-CZ"/>
              </w:rPr>
              <w:t>0</w:t>
            </w:r>
          </w:p>
        </w:tc>
      </w:tr>
      <w:tr w:rsidR="00AE4245" w:rsidRPr="00A808A0" w14:paraId="728A1FEC"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2F04A654" w14:textId="77777777" w:rsidR="002B4039" w:rsidRPr="00A808A0" w:rsidRDefault="002B4039" w:rsidP="009E6013">
            <w:pPr>
              <w:autoSpaceDE w:val="0"/>
              <w:autoSpaceDN w:val="0"/>
              <w:adjustRightInd w:val="0"/>
              <w:jc w:val="center"/>
              <w:rPr>
                <w:lang w:val="cs-CZ" w:eastAsia="cs-CZ"/>
              </w:rPr>
            </w:pPr>
            <w:r w:rsidRPr="00A808A0">
              <w:rPr>
                <w:lang w:val="cs-CZ" w:eastAsia="cs-CZ"/>
              </w:rPr>
              <w:t>FRONTEX</w:t>
            </w:r>
          </w:p>
        </w:tc>
        <w:tc>
          <w:tcPr>
            <w:tcW w:w="2268" w:type="dxa"/>
            <w:tcBorders>
              <w:top w:val="single" w:sz="6" w:space="0" w:color="000000"/>
              <w:left w:val="single" w:sz="6" w:space="0" w:color="000000"/>
              <w:bottom w:val="single" w:sz="6" w:space="0" w:color="000000"/>
              <w:right w:val="single" w:sz="6" w:space="0" w:color="000000"/>
            </w:tcBorders>
            <w:vAlign w:val="center"/>
          </w:tcPr>
          <w:p w14:paraId="606DAD7E" w14:textId="77777777" w:rsidR="002B4039" w:rsidRPr="00A808A0" w:rsidRDefault="002B4039" w:rsidP="009E6013">
            <w:pPr>
              <w:autoSpaceDE w:val="0"/>
              <w:autoSpaceDN w:val="0"/>
              <w:adjustRightInd w:val="0"/>
              <w:jc w:val="center"/>
              <w:rPr>
                <w:lang w:val="cs-CZ" w:eastAsia="cs-CZ"/>
              </w:rPr>
            </w:pPr>
            <w:r w:rsidRPr="00A808A0">
              <w:rPr>
                <w:lang w:val="cs-CZ" w:eastAsia="cs-CZ"/>
              </w:rPr>
              <w:t>4</w:t>
            </w:r>
          </w:p>
        </w:tc>
        <w:tc>
          <w:tcPr>
            <w:tcW w:w="1449" w:type="dxa"/>
            <w:tcBorders>
              <w:top w:val="single" w:sz="6" w:space="0" w:color="000000"/>
              <w:left w:val="single" w:sz="6" w:space="0" w:color="000000"/>
              <w:bottom w:val="single" w:sz="6" w:space="0" w:color="000000"/>
              <w:right w:val="single" w:sz="6" w:space="0" w:color="000000"/>
            </w:tcBorders>
            <w:vAlign w:val="center"/>
          </w:tcPr>
          <w:p w14:paraId="6AA5B7D4" w14:textId="275AE2A9" w:rsidR="002B4039" w:rsidRPr="00A808A0" w:rsidRDefault="00331674" w:rsidP="009E6013">
            <w:pPr>
              <w:autoSpaceDE w:val="0"/>
              <w:autoSpaceDN w:val="0"/>
              <w:adjustRightInd w:val="0"/>
              <w:jc w:val="center"/>
              <w:rPr>
                <w:lang w:val="cs-CZ" w:eastAsia="cs-CZ"/>
              </w:rPr>
            </w:pPr>
            <w:r w:rsidRPr="00A808A0">
              <w:rPr>
                <w:lang w:val="cs-CZ" w:eastAsia="cs-CZ"/>
              </w:rPr>
              <w:t>4</w:t>
            </w:r>
          </w:p>
        </w:tc>
      </w:tr>
      <w:tr w:rsidR="00AE4245" w:rsidRPr="00A808A0" w14:paraId="6B851645"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37F78DC2" w14:textId="77777777" w:rsidR="002B4039" w:rsidRPr="00A808A0" w:rsidRDefault="002B4039" w:rsidP="009E6013">
            <w:pPr>
              <w:autoSpaceDE w:val="0"/>
              <w:autoSpaceDN w:val="0"/>
              <w:adjustRightInd w:val="0"/>
              <w:jc w:val="center"/>
              <w:rPr>
                <w:lang w:val="cs-CZ" w:eastAsia="cs-CZ"/>
              </w:rPr>
            </w:pPr>
            <w:r w:rsidRPr="00A808A0">
              <w:rPr>
                <w:lang w:val="cs-CZ" w:eastAsia="cs-CZ"/>
              </w:rPr>
              <w:t>NATO HQ, sekretariát, NLO Kyjev, NIFC, Intelligence Unit, UNDP Istanbul, NATO CCDCOE</w:t>
            </w:r>
          </w:p>
        </w:tc>
        <w:tc>
          <w:tcPr>
            <w:tcW w:w="2268" w:type="dxa"/>
            <w:tcBorders>
              <w:top w:val="single" w:sz="6" w:space="0" w:color="000000"/>
              <w:left w:val="single" w:sz="6" w:space="0" w:color="000000"/>
              <w:bottom w:val="single" w:sz="6" w:space="0" w:color="000000"/>
              <w:right w:val="single" w:sz="6" w:space="0" w:color="000000"/>
            </w:tcBorders>
            <w:vAlign w:val="center"/>
          </w:tcPr>
          <w:p w14:paraId="2F060A0B" w14:textId="08886227" w:rsidR="002B4039" w:rsidRPr="00A808A0" w:rsidRDefault="00331674" w:rsidP="009E6013">
            <w:pPr>
              <w:autoSpaceDE w:val="0"/>
              <w:autoSpaceDN w:val="0"/>
              <w:adjustRightInd w:val="0"/>
              <w:jc w:val="center"/>
              <w:rPr>
                <w:lang w:val="cs-CZ" w:eastAsia="cs-CZ"/>
              </w:rPr>
            </w:pPr>
            <w:r w:rsidRPr="00A808A0">
              <w:rPr>
                <w:lang w:val="cs-CZ" w:eastAsia="cs-CZ"/>
              </w:rPr>
              <w:t>12</w:t>
            </w:r>
          </w:p>
        </w:tc>
        <w:tc>
          <w:tcPr>
            <w:tcW w:w="1449" w:type="dxa"/>
            <w:tcBorders>
              <w:top w:val="single" w:sz="6" w:space="0" w:color="000000"/>
              <w:left w:val="single" w:sz="6" w:space="0" w:color="000000"/>
              <w:bottom w:val="single" w:sz="6" w:space="0" w:color="000000"/>
              <w:right w:val="single" w:sz="6" w:space="0" w:color="000000"/>
            </w:tcBorders>
            <w:vAlign w:val="center"/>
          </w:tcPr>
          <w:p w14:paraId="15BC152D" w14:textId="6C3723EB" w:rsidR="002B4039" w:rsidRPr="00A808A0" w:rsidRDefault="00331674" w:rsidP="009E6013">
            <w:pPr>
              <w:autoSpaceDE w:val="0"/>
              <w:autoSpaceDN w:val="0"/>
              <w:adjustRightInd w:val="0"/>
              <w:jc w:val="center"/>
              <w:rPr>
                <w:lang w:val="cs-CZ" w:eastAsia="cs-CZ"/>
              </w:rPr>
            </w:pPr>
            <w:r w:rsidRPr="00A808A0">
              <w:rPr>
                <w:lang w:val="cs-CZ" w:eastAsia="cs-CZ"/>
              </w:rPr>
              <w:t>2</w:t>
            </w:r>
          </w:p>
        </w:tc>
      </w:tr>
      <w:tr w:rsidR="00AE4245" w:rsidRPr="00A808A0" w14:paraId="2F5524E1"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6BB4345F" w14:textId="07CE1AC5" w:rsidR="002B4039" w:rsidRPr="00A808A0" w:rsidRDefault="002B4039" w:rsidP="009E6013">
            <w:pPr>
              <w:autoSpaceDE w:val="0"/>
              <w:autoSpaceDN w:val="0"/>
              <w:adjustRightInd w:val="0"/>
              <w:jc w:val="center"/>
              <w:rPr>
                <w:lang w:val="cs-CZ" w:eastAsia="cs-CZ"/>
              </w:rPr>
            </w:pPr>
            <w:r w:rsidRPr="00A808A0">
              <w:rPr>
                <w:lang w:val="cs-CZ" w:eastAsia="cs-CZ"/>
              </w:rPr>
              <w:t xml:space="preserve">NATO </w:t>
            </w:r>
            <w:r w:rsidR="00284463" w:rsidRPr="00A808A0">
              <w:rPr>
                <w:lang w:val="cs-CZ" w:eastAsia="cs-CZ"/>
              </w:rPr>
              <w:t>Intern</w:t>
            </w:r>
            <w:r w:rsidR="00284463">
              <w:rPr>
                <w:lang w:val="cs-CZ" w:eastAsia="cs-CZ"/>
              </w:rPr>
              <w:t>s</w:t>
            </w:r>
            <w:r w:rsidR="00284463" w:rsidRPr="00A808A0">
              <w:rPr>
                <w:lang w:val="cs-CZ" w:eastAsia="cs-CZ"/>
              </w:rPr>
              <w:t>hip</w:t>
            </w:r>
            <w:r w:rsidRPr="00A808A0">
              <w:rPr>
                <w:lang w:val="cs-CZ" w:eastAsia="cs-CZ"/>
              </w:rPr>
              <w:t xml:space="preserve"> Programme</w:t>
            </w:r>
          </w:p>
        </w:tc>
        <w:tc>
          <w:tcPr>
            <w:tcW w:w="2268" w:type="dxa"/>
            <w:tcBorders>
              <w:top w:val="single" w:sz="6" w:space="0" w:color="000000"/>
              <w:left w:val="single" w:sz="6" w:space="0" w:color="000000"/>
              <w:bottom w:val="single" w:sz="6" w:space="0" w:color="000000"/>
              <w:right w:val="single" w:sz="6" w:space="0" w:color="000000"/>
            </w:tcBorders>
            <w:vAlign w:val="center"/>
          </w:tcPr>
          <w:p w14:paraId="7B4A2282" w14:textId="53BA57AF" w:rsidR="002B4039" w:rsidRPr="00A808A0" w:rsidRDefault="00331674" w:rsidP="009E6013">
            <w:pPr>
              <w:autoSpaceDE w:val="0"/>
              <w:autoSpaceDN w:val="0"/>
              <w:adjustRightInd w:val="0"/>
              <w:jc w:val="center"/>
              <w:rPr>
                <w:lang w:val="cs-CZ" w:eastAsia="cs-CZ"/>
              </w:rPr>
            </w:pPr>
            <w:r w:rsidRPr="00A808A0">
              <w:rPr>
                <w:lang w:val="cs-CZ" w:eastAsia="cs-CZ"/>
              </w:rPr>
              <w:t>2</w:t>
            </w:r>
          </w:p>
        </w:tc>
        <w:tc>
          <w:tcPr>
            <w:tcW w:w="1449" w:type="dxa"/>
            <w:tcBorders>
              <w:top w:val="single" w:sz="6" w:space="0" w:color="000000"/>
              <w:left w:val="single" w:sz="6" w:space="0" w:color="000000"/>
              <w:bottom w:val="single" w:sz="6" w:space="0" w:color="000000"/>
              <w:right w:val="single" w:sz="6" w:space="0" w:color="000000"/>
            </w:tcBorders>
            <w:vAlign w:val="center"/>
          </w:tcPr>
          <w:p w14:paraId="661ADB1F" w14:textId="72D60FA0" w:rsidR="002B4039" w:rsidRPr="00A808A0" w:rsidRDefault="00331674" w:rsidP="009E6013">
            <w:pPr>
              <w:autoSpaceDE w:val="0"/>
              <w:autoSpaceDN w:val="0"/>
              <w:adjustRightInd w:val="0"/>
              <w:jc w:val="center"/>
              <w:rPr>
                <w:lang w:val="cs-CZ" w:eastAsia="cs-CZ"/>
              </w:rPr>
            </w:pPr>
            <w:r w:rsidRPr="00A808A0">
              <w:rPr>
                <w:lang w:val="cs-CZ" w:eastAsia="cs-CZ"/>
              </w:rPr>
              <w:t>1</w:t>
            </w:r>
          </w:p>
        </w:tc>
      </w:tr>
      <w:tr w:rsidR="00AE4245" w:rsidRPr="00A808A0" w14:paraId="1CB3E7F9"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7074A5CD" w14:textId="77777777" w:rsidR="002B4039" w:rsidRPr="00A808A0" w:rsidRDefault="002B4039" w:rsidP="009E6013">
            <w:pPr>
              <w:autoSpaceDE w:val="0"/>
              <w:autoSpaceDN w:val="0"/>
              <w:adjustRightInd w:val="0"/>
              <w:jc w:val="center"/>
              <w:rPr>
                <w:lang w:val="cs-CZ" w:eastAsia="cs-CZ"/>
              </w:rPr>
            </w:pPr>
            <w:r w:rsidRPr="00A808A0">
              <w:rPr>
                <w:lang w:val="cs-CZ" w:eastAsia="cs-CZ"/>
              </w:rPr>
              <w:t>INTERPOL</w:t>
            </w:r>
          </w:p>
        </w:tc>
        <w:tc>
          <w:tcPr>
            <w:tcW w:w="2268" w:type="dxa"/>
            <w:tcBorders>
              <w:top w:val="single" w:sz="6" w:space="0" w:color="000000"/>
              <w:left w:val="single" w:sz="6" w:space="0" w:color="000000"/>
              <w:bottom w:val="single" w:sz="6" w:space="0" w:color="000000"/>
              <w:right w:val="single" w:sz="6" w:space="0" w:color="000000"/>
            </w:tcBorders>
            <w:vAlign w:val="center"/>
          </w:tcPr>
          <w:p w14:paraId="4609900D" w14:textId="77777777" w:rsidR="002B4039" w:rsidRPr="00A808A0" w:rsidRDefault="002B4039" w:rsidP="009E6013">
            <w:pPr>
              <w:autoSpaceDE w:val="0"/>
              <w:autoSpaceDN w:val="0"/>
              <w:adjustRightInd w:val="0"/>
              <w:jc w:val="center"/>
              <w:rPr>
                <w:lang w:val="cs-CZ" w:eastAsia="cs-CZ"/>
              </w:rPr>
            </w:pPr>
            <w:r w:rsidRPr="00A808A0">
              <w:rPr>
                <w:lang w:val="cs-CZ" w:eastAsia="cs-CZ"/>
              </w:rPr>
              <w:t>3</w:t>
            </w:r>
          </w:p>
        </w:tc>
        <w:tc>
          <w:tcPr>
            <w:tcW w:w="1449" w:type="dxa"/>
            <w:tcBorders>
              <w:top w:val="single" w:sz="6" w:space="0" w:color="000000"/>
              <w:left w:val="single" w:sz="6" w:space="0" w:color="000000"/>
              <w:bottom w:val="single" w:sz="6" w:space="0" w:color="000000"/>
              <w:right w:val="single" w:sz="6" w:space="0" w:color="000000"/>
            </w:tcBorders>
            <w:vAlign w:val="center"/>
          </w:tcPr>
          <w:p w14:paraId="77E80FD2" w14:textId="77777777" w:rsidR="002B4039" w:rsidRPr="00A808A0" w:rsidRDefault="002B4039" w:rsidP="009E6013">
            <w:pPr>
              <w:autoSpaceDE w:val="0"/>
              <w:autoSpaceDN w:val="0"/>
              <w:adjustRightInd w:val="0"/>
              <w:jc w:val="center"/>
              <w:rPr>
                <w:lang w:val="cs-CZ" w:eastAsia="cs-CZ"/>
              </w:rPr>
            </w:pPr>
            <w:r w:rsidRPr="00A808A0">
              <w:rPr>
                <w:lang w:val="cs-CZ" w:eastAsia="cs-CZ"/>
              </w:rPr>
              <w:t>1</w:t>
            </w:r>
          </w:p>
        </w:tc>
      </w:tr>
      <w:tr w:rsidR="00AE4245" w:rsidRPr="00A808A0" w14:paraId="3A2FB839"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3CD6F886" w14:textId="77777777" w:rsidR="002B4039" w:rsidRPr="00A808A0" w:rsidRDefault="002B4039" w:rsidP="009E6013">
            <w:pPr>
              <w:autoSpaceDE w:val="0"/>
              <w:autoSpaceDN w:val="0"/>
              <w:adjustRightInd w:val="0"/>
              <w:jc w:val="center"/>
              <w:rPr>
                <w:lang w:val="cs-CZ" w:eastAsia="cs-CZ"/>
              </w:rPr>
            </w:pPr>
            <w:r w:rsidRPr="00A808A0">
              <w:rPr>
                <w:lang w:val="cs-CZ" w:eastAsia="cs-CZ"/>
              </w:rPr>
              <w:t>Sekretariát OBSE / DCiP</w:t>
            </w:r>
          </w:p>
        </w:tc>
        <w:tc>
          <w:tcPr>
            <w:tcW w:w="2268" w:type="dxa"/>
            <w:tcBorders>
              <w:top w:val="single" w:sz="6" w:space="0" w:color="000000"/>
              <w:left w:val="single" w:sz="6" w:space="0" w:color="000000"/>
              <w:bottom w:val="single" w:sz="6" w:space="0" w:color="000000"/>
              <w:right w:val="single" w:sz="6" w:space="0" w:color="000000"/>
            </w:tcBorders>
            <w:vAlign w:val="center"/>
          </w:tcPr>
          <w:p w14:paraId="1E0907F2" w14:textId="77777777" w:rsidR="002B4039" w:rsidRPr="00A808A0" w:rsidRDefault="002B4039" w:rsidP="009E6013">
            <w:pPr>
              <w:autoSpaceDE w:val="0"/>
              <w:autoSpaceDN w:val="0"/>
              <w:adjustRightInd w:val="0"/>
              <w:jc w:val="center"/>
              <w:rPr>
                <w:lang w:val="cs-CZ" w:eastAsia="cs-CZ"/>
              </w:rPr>
            </w:pPr>
            <w:r w:rsidRPr="00A808A0">
              <w:rPr>
                <w:lang w:val="cs-CZ" w:eastAsia="cs-CZ"/>
              </w:rPr>
              <w:t>1</w:t>
            </w:r>
          </w:p>
        </w:tc>
        <w:tc>
          <w:tcPr>
            <w:tcW w:w="1449" w:type="dxa"/>
            <w:tcBorders>
              <w:top w:val="single" w:sz="6" w:space="0" w:color="000000"/>
              <w:left w:val="single" w:sz="6" w:space="0" w:color="000000"/>
              <w:bottom w:val="single" w:sz="6" w:space="0" w:color="000000"/>
              <w:right w:val="single" w:sz="6" w:space="0" w:color="000000"/>
            </w:tcBorders>
            <w:vAlign w:val="center"/>
          </w:tcPr>
          <w:p w14:paraId="5B828B88" w14:textId="1B38144A" w:rsidR="002B4039" w:rsidRPr="00A808A0" w:rsidRDefault="00331674" w:rsidP="009E6013">
            <w:pPr>
              <w:autoSpaceDE w:val="0"/>
              <w:autoSpaceDN w:val="0"/>
              <w:adjustRightInd w:val="0"/>
              <w:jc w:val="center"/>
              <w:rPr>
                <w:lang w:val="cs-CZ" w:eastAsia="cs-CZ"/>
              </w:rPr>
            </w:pPr>
            <w:r w:rsidRPr="00A808A0">
              <w:rPr>
                <w:lang w:val="cs-CZ" w:eastAsia="cs-CZ"/>
              </w:rPr>
              <w:t>0</w:t>
            </w:r>
          </w:p>
        </w:tc>
      </w:tr>
      <w:tr w:rsidR="00AE4245" w:rsidRPr="00A808A0" w14:paraId="71A3FE2A"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53BB380D" w14:textId="77777777" w:rsidR="002B4039" w:rsidRPr="00A808A0" w:rsidRDefault="002B4039" w:rsidP="009E6013">
            <w:pPr>
              <w:autoSpaceDE w:val="0"/>
              <w:autoSpaceDN w:val="0"/>
              <w:adjustRightInd w:val="0"/>
              <w:jc w:val="center"/>
              <w:rPr>
                <w:lang w:val="cs-CZ" w:eastAsia="cs-CZ"/>
              </w:rPr>
            </w:pPr>
            <w:r w:rsidRPr="00A808A0">
              <w:rPr>
                <w:lang w:val="cs-CZ" w:eastAsia="cs-CZ"/>
              </w:rPr>
              <w:t>SMM Ukraine</w:t>
            </w:r>
          </w:p>
        </w:tc>
        <w:tc>
          <w:tcPr>
            <w:tcW w:w="2268" w:type="dxa"/>
            <w:tcBorders>
              <w:top w:val="single" w:sz="6" w:space="0" w:color="000000"/>
              <w:left w:val="single" w:sz="6" w:space="0" w:color="000000"/>
              <w:bottom w:val="single" w:sz="6" w:space="0" w:color="000000"/>
              <w:right w:val="single" w:sz="6" w:space="0" w:color="000000"/>
            </w:tcBorders>
            <w:vAlign w:val="center"/>
          </w:tcPr>
          <w:p w14:paraId="5062204A" w14:textId="4DD1076F" w:rsidR="002B4039" w:rsidRPr="00A808A0" w:rsidRDefault="00331674" w:rsidP="009E6013">
            <w:pPr>
              <w:autoSpaceDE w:val="0"/>
              <w:autoSpaceDN w:val="0"/>
              <w:adjustRightInd w:val="0"/>
              <w:jc w:val="center"/>
              <w:rPr>
                <w:lang w:val="cs-CZ" w:eastAsia="cs-CZ"/>
              </w:rPr>
            </w:pPr>
            <w:r w:rsidRPr="00A808A0">
              <w:rPr>
                <w:lang w:val="cs-CZ" w:eastAsia="cs-CZ"/>
              </w:rPr>
              <w:t>13</w:t>
            </w:r>
          </w:p>
        </w:tc>
        <w:tc>
          <w:tcPr>
            <w:tcW w:w="1449" w:type="dxa"/>
            <w:tcBorders>
              <w:top w:val="single" w:sz="6" w:space="0" w:color="000000"/>
              <w:left w:val="single" w:sz="6" w:space="0" w:color="000000"/>
              <w:bottom w:val="single" w:sz="6" w:space="0" w:color="000000"/>
              <w:right w:val="single" w:sz="6" w:space="0" w:color="000000"/>
            </w:tcBorders>
            <w:vAlign w:val="center"/>
          </w:tcPr>
          <w:p w14:paraId="5F7DA15B" w14:textId="77777777" w:rsidR="002B4039" w:rsidRPr="00A808A0" w:rsidRDefault="002B4039" w:rsidP="009E6013">
            <w:pPr>
              <w:autoSpaceDE w:val="0"/>
              <w:autoSpaceDN w:val="0"/>
              <w:adjustRightInd w:val="0"/>
              <w:jc w:val="center"/>
              <w:rPr>
                <w:lang w:val="cs-CZ" w:eastAsia="cs-CZ"/>
              </w:rPr>
            </w:pPr>
            <w:r w:rsidRPr="00A808A0">
              <w:rPr>
                <w:lang w:val="cs-CZ" w:eastAsia="cs-CZ"/>
              </w:rPr>
              <w:t>0</w:t>
            </w:r>
          </w:p>
        </w:tc>
      </w:tr>
      <w:tr w:rsidR="00AE4245" w:rsidRPr="00A808A0" w14:paraId="08953B66"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3B5A96DB" w14:textId="77777777" w:rsidR="002B4039" w:rsidRPr="00A808A0" w:rsidRDefault="002B4039" w:rsidP="009E6013">
            <w:pPr>
              <w:autoSpaceDE w:val="0"/>
              <w:autoSpaceDN w:val="0"/>
              <w:adjustRightInd w:val="0"/>
              <w:jc w:val="center"/>
              <w:rPr>
                <w:lang w:val="cs-CZ" w:eastAsia="cs-CZ"/>
              </w:rPr>
            </w:pPr>
            <w:r w:rsidRPr="00A808A0">
              <w:rPr>
                <w:lang w:val="cs-CZ" w:eastAsia="cs-CZ"/>
              </w:rPr>
              <w:t>Polní mise OBSE</w:t>
            </w:r>
          </w:p>
        </w:tc>
        <w:tc>
          <w:tcPr>
            <w:tcW w:w="2268" w:type="dxa"/>
            <w:tcBorders>
              <w:top w:val="single" w:sz="6" w:space="0" w:color="000000"/>
              <w:left w:val="single" w:sz="6" w:space="0" w:color="000000"/>
              <w:bottom w:val="single" w:sz="6" w:space="0" w:color="000000"/>
              <w:right w:val="single" w:sz="6" w:space="0" w:color="000000"/>
            </w:tcBorders>
            <w:vAlign w:val="center"/>
          </w:tcPr>
          <w:p w14:paraId="1D5A244E" w14:textId="77777777" w:rsidR="002B4039" w:rsidRPr="00A808A0" w:rsidRDefault="002B4039" w:rsidP="009E6013">
            <w:pPr>
              <w:autoSpaceDE w:val="0"/>
              <w:autoSpaceDN w:val="0"/>
              <w:adjustRightInd w:val="0"/>
              <w:jc w:val="center"/>
              <w:rPr>
                <w:lang w:val="cs-CZ" w:eastAsia="cs-CZ"/>
              </w:rPr>
            </w:pPr>
            <w:r w:rsidRPr="00A808A0">
              <w:rPr>
                <w:lang w:val="cs-CZ" w:eastAsia="cs-CZ"/>
              </w:rPr>
              <w:t>3</w:t>
            </w:r>
          </w:p>
        </w:tc>
        <w:tc>
          <w:tcPr>
            <w:tcW w:w="1449" w:type="dxa"/>
            <w:tcBorders>
              <w:top w:val="single" w:sz="6" w:space="0" w:color="000000"/>
              <w:left w:val="single" w:sz="6" w:space="0" w:color="000000"/>
              <w:bottom w:val="single" w:sz="6" w:space="0" w:color="000000"/>
              <w:right w:val="single" w:sz="6" w:space="0" w:color="000000"/>
            </w:tcBorders>
            <w:vAlign w:val="center"/>
          </w:tcPr>
          <w:p w14:paraId="262F8886" w14:textId="77777777" w:rsidR="002B4039" w:rsidRPr="00A808A0" w:rsidRDefault="002B4039" w:rsidP="009E6013">
            <w:pPr>
              <w:autoSpaceDE w:val="0"/>
              <w:autoSpaceDN w:val="0"/>
              <w:adjustRightInd w:val="0"/>
              <w:jc w:val="center"/>
              <w:rPr>
                <w:lang w:val="cs-CZ" w:eastAsia="cs-CZ"/>
              </w:rPr>
            </w:pPr>
            <w:r w:rsidRPr="00A808A0">
              <w:rPr>
                <w:lang w:val="cs-CZ" w:eastAsia="cs-CZ"/>
              </w:rPr>
              <w:t>0</w:t>
            </w:r>
          </w:p>
        </w:tc>
      </w:tr>
      <w:tr w:rsidR="00AE4245" w:rsidRPr="00A808A0" w14:paraId="63BEE8B4"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60146CCD" w14:textId="77777777" w:rsidR="002B4039" w:rsidRPr="00A808A0" w:rsidRDefault="002B4039" w:rsidP="009E6013">
            <w:pPr>
              <w:autoSpaceDE w:val="0"/>
              <w:autoSpaceDN w:val="0"/>
              <w:adjustRightInd w:val="0"/>
              <w:jc w:val="center"/>
              <w:rPr>
                <w:lang w:val="cs-CZ" w:eastAsia="cs-CZ"/>
              </w:rPr>
            </w:pPr>
            <w:r w:rsidRPr="00A808A0">
              <w:rPr>
                <w:lang w:val="cs-CZ" w:eastAsia="cs-CZ"/>
              </w:rPr>
              <w:t>JPO OBSE</w:t>
            </w:r>
          </w:p>
        </w:tc>
        <w:tc>
          <w:tcPr>
            <w:tcW w:w="2268" w:type="dxa"/>
            <w:tcBorders>
              <w:top w:val="single" w:sz="6" w:space="0" w:color="000000"/>
              <w:left w:val="single" w:sz="6" w:space="0" w:color="000000"/>
              <w:bottom w:val="single" w:sz="6" w:space="0" w:color="000000"/>
              <w:right w:val="single" w:sz="6" w:space="0" w:color="000000"/>
            </w:tcBorders>
            <w:vAlign w:val="center"/>
          </w:tcPr>
          <w:p w14:paraId="0A9EEFE2" w14:textId="77777777" w:rsidR="002B4039" w:rsidRPr="00A808A0" w:rsidRDefault="002B4039" w:rsidP="009E6013">
            <w:pPr>
              <w:autoSpaceDE w:val="0"/>
              <w:autoSpaceDN w:val="0"/>
              <w:adjustRightInd w:val="0"/>
              <w:jc w:val="center"/>
              <w:rPr>
                <w:lang w:val="cs-CZ" w:eastAsia="cs-CZ"/>
              </w:rPr>
            </w:pPr>
            <w:r w:rsidRPr="00A808A0">
              <w:rPr>
                <w:lang w:val="cs-CZ" w:eastAsia="cs-CZ"/>
              </w:rPr>
              <w:t>1</w:t>
            </w:r>
          </w:p>
        </w:tc>
        <w:tc>
          <w:tcPr>
            <w:tcW w:w="1449" w:type="dxa"/>
            <w:tcBorders>
              <w:top w:val="single" w:sz="6" w:space="0" w:color="000000"/>
              <w:left w:val="single" w:sz="6" w:space="0" w:color="000000"/>
              <w:bottom w:val="single" w:sz="6" w:space="0" w:color="000000"/>
              <w:right w:val="single" w:sz="6" w:space="0" w:color="000000"/>
            </w:tcBorders>
            <w:vAlign w:val="center"/>
          </w:tcPr>
          <w:p w14:paraId="0E656ACD" w14:textId="77777777" w:rsidR="002B4039" w:rsidRPr="00A808A0" w:rsidRDefault="002B4039" w:rsidP="009E6013">
            <w:pPr>
              <w:autoSpaceDE w:val="0"/>
              <w:autoSpaceDN w:val="0"/>
              <w:adjustRightInd w:val="0"/>
              <w:jc w:val="center"/>
              <w:rPr>
                <w:lang w:val="cs-CZ" w:eastAsia="cs-CZ"/>
              </w:rPr>
            </w:pPr>
            <w:r w:rsidRPr="00A808A0">
              <w:rPr>
                <w:lang w:val="cs-CZ" w:eastAsia="cs-CZ"/>
              </w:rPr>
              <w:t>1</w:t>
            </w:r>
          </w:p>
        </w:tc>
      </w:tr>
      <w:tr w:rsidR="00AE4245" w:rsidRPr="00A808A0" w14:paraId="10D67342"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2DF21E01" w14:textId="77777777" w:rsidR="002B4039" w:rsidRPr="00A808A0" w:rsidRDefault="002B4039" w:rsidP="009E6013">
            <w:pPr>
              <w:autoSpaceDE w:val="0"/>
              <w:autoSpaceDN w:val="0"/>
              <w:adjustRightInd w:val="0"/>
              <w:jc w:val="center"/>
              <w:rPr>
                <w:lang w:val="cs-CZ" w:eastAsia="cs-CZ"/>
              </w:rPr>
            </w:pPr>
            <w:r w:rsidRPr="00A808A0">
              <w:rPr>
                <w:lang w:val="cs-CZ" w:eastAsia="cs-CZ"/>
              </w:rPr>
              <w:t>ODIHR</w:t>
            </w:r>
          </w:p>
        </w:tc>
        <w:tc>
          <w:tcPr>
            <w:tcW w:w="2268" w:type="dxa"/>
            <w:tcBorders>
              <w:top w:val="single" w:sz="6" w:space="0" w:color="000000"/>
              <w:left w:val="single" w:sz="6" w:space="0" w:color="000000"/>
              <w:bottom w:val="single" w:sz="6" w:space="0" w:color="000000"/>
              <w:right w:val="single" w:sz="6" w:space="0" w:color="000000"/>
            </w:tcBorders>
            <w:vAlign w:val="center"/>
          </w:tcPr>
          <w:p w14:paraId="3C75D352" w14:textId="676F709D" w:rsidR="002B4039" w:rsidRPr="00A808A0" w:rsidRDefault="00331674" w:rsidP="009E6013">
            <w:pPr>
              <w:autoSpaceDE w:val="0"/>
              <w:autoSpaceDN w:val="0"/>
              <w:adjustRightInd w:val="0"/>
              <w:jc w:val="center"/>
              <w:rPr>
                <w:lang w:val="cs-CZ" w:eastAsia="cs-CZ"/>
              </w:rPr>
            </w:pPr>
            <w:r w:rsidRPr="00A808A0">
              <w:rPr>
                <w:lang w:val="cs-CZ" w:eastAsia="cs-CZ"/>
              </w:rPr>
              <w:t>2</w:t>
            </w:r>
          </w:p>
        </w:tc>
        <w:tc>
          <w:tcPr>
            <w:tcW w:w="1449" w:type="dxa"/>
            <w:tcBorders>
              <w:top w:val="single" w:sz="6" w:space="0" w:color="000000"/>
              <w:left w:val="single" w:sz="6" w:space="0" w:color="000000"/>
              <w:bottom w:val="single" w:sz="6" w:space="0" w:color="000000"/>
              <w:right w:val="single" w:sz="6" w:space="0" w:color="000000"/>
            </w:tcBorders>
            <w:vAlign w:val="center"/>
          </w:tcPr>
          <w:p w14:paraId="0F38CB28" w14:textId="344CA02F" w:rsidR="002B4039" w:rsidRPr="00A808A0" w:rsidRDefault="00331674" w:rsidP="009E6013">
            <w:pPr>
              <w:autoSpaceDE w:val="0"/>
              <w:autoSpaceDN w:val="0"/>
              <w:adjustRightInd w:val="0"/>
              <w:jc w:val="center"/>
              <w:rPr>
                <w:lang w:val="cs-CZ" w:eastAsia="cs-CZ"/>
              </w:rPr>
            </w:pPr>
            <w:r w:rsidRPr="00A808A0">
              <w:rPr>
                <w:lang w:val="cs-CZ" w:eastAsia="cs-CZ"/>
              </w:rPr>
              <w:t>1</w:t>
            </w:r>
          </w:p>
        </w:tc>
      </w:tr>
      <w:tr w:rsidR="00AE4245" w:rsidRPr="00A808A0" w14:paraId="3EF79C67" w14:textId="77777777" w:rsidTr="006615ED">
        <w:trPr>
          <w:trHeight w:val="284"/>
        </w:trPr>
        <w:tc>
          <w:tcPr>
            <w:tcW w:w="5495" w:type="dxa"/>
            <w:tcBorders>
              <w:top w:val="single" w:sz="6" w:space="0" w:color="000000"/>
              <w:left w:val="single" w:sz="6" w:space="0" w:color="000000"/>
              <w:bottom w:val="single" w:sz="6" w:space="0" w:color="000000"/>
              <w:right w:val="single" w:sz="6" w:space="0" w:color="000000"/>
            </w:tcBorders>
            <w:vAlign w:val="center"/>
          </w:tcPr>
          <w:p w14:paraId="0E106786" w14:textId="77777777" w:rsidR="002B4039" w:rsidRPr="00A808A0" w:rsidRDefault="002B4039" w:rsidP="009E6013">
            <w:pPr>
              <w:autoSpaceDE w:val="0"/>
              <w:autoSpaceDN w:val="0"/>
              <w:adjustRightInd w:val="0"/>
              <w:jc w:val="center"/>
              <w:rPr>
                <w:b/>
                <w:lang w:val="cs-CZ" w:eastAsia="cs-CZ"/>
              </w:rPr>
            </w:pPr>
            <w:r w:rsidRPr="00A808A0">
              <w:rPr>
                <w:b/>
                <w:lang w:val="cs-CZ" w:eastAsia="cs-CZ"/>
              </w:rPr>
              <w:t>celkem</w:t>
            </w:r>
          </w:p>
        </w:tc>
        <w:tc>
          <w:tcPr>
            <w:tcW w:w="2268" w:type="dxa"/>
            <w:tcBorders>
              <w:top w:val="single" w:sz="6" w:space="0" w:color="000000"/>
              <w:left w:val="single" w:sz="6" w:space="0" w:color="000000"/>
              <w:bottom w:val="single" w:sz="6" w:space="0" w:color="000000"/>
              <w:right w:val="single" w:sz="6" w:space="0" w:color="000000"/>
            </w:tcBorders>
            <w:vAlign w:val="center"/>
          </w:tcPr>
          <w:p w14:paraId="26602A2A" w14:textId="62ACA905" w:rsidR="002B4039" w:rsidRPr="00A808A0" w:rsidRDefault="00331674" w:rsidP="009E6013">
            <w:pPr>
              <w:autoSpaceDE w:val="0"/>
              <w:autoSpaceDN w:val="0"/>
              <w:adjustRightInd w:val="0"/>
              <w:jc w:val="center"/>
              <w:rPr>
                <w:b/>
                <w:lang w:val="cs-CZ" w:eastAsia="cs-CZ"/>
              </w:rPr>
            </w:pPr>
            <w:r w:rsidRPr="00A808A0">
              <w:rPr>
                <w:b/>
                <w:lang w:val="cs-CZ" w:eastAsia="cs-CZ"/>
              </w:rPr>
              <w:t>89</w:t>
            </w:r>
          </w:p>
        </w:tc>
        <w:tc>
          <w:tcPr>
            <w:tcW w:w="1449" w:type="dxa"/>
            <w:tcBorders>
              <w:top w:val="single" w:sz="6" w:space="0" w:color="000000"/>
              <w:left w:val="single" w:sz="6" w:space="0" w:color="000000"/>
              <w:bottom w:val="single" w:sz="6" w:space="0" w:color="000000"/>
              <w:right w:val="single" w:sz="6" w:space="0" w:color="000000"/>
            </w:tcBorders>
            <w:vAlign w:val="center"/>
          </w:tcPr>
          <w:p w14:paraId="523E66B9" w14:textId="0C766DBE" w:rsidR="002B4039" w:rsidRPr="00A808A0" w:rsidRDefault="00331674" w:rsidP="009E6013">
            <w:pPr>
              <w:autoSpaceDE w:val="0"/>
              <w:autoSpaceDN w:val="0"/>
              <w:adjustRightInd w:val="0"/>
              <w:jc w:val="center"/>
              <w:rPr>
                <w:b/>
                <w:lang w:val="cs-CZ" w:eastAsia="cs-CZ"/>
              </w:rPr>
            </w:pPr>
            <w:r w:rsidRPr="00A808A0">
              <w:rPr>
                <w:b/>
                <w:lang w:val="cs-CZ" w:eastAsia="cs-CZ"/>
              </w:rPr>
              <w:t>27</w:t>
            </w:r>
          </w:p>
        </w:tc>
      </w:tr>
    </w:tbl>
    <w:p w14:paraId="5F1828AF" w14:textId="7398C36E" w:rsidR="009E6013" w:rsidRDefault="009E6013" w:rsidP="009E6013">
      <w:pPr>
        <w:snapToGrid w:val="0"/>
        <w:spacing w:after="120"/>
        <w:jc w:val="both"/>
        <w:rPr>
          <w:iCs/>
          <w:lang w:val="cs-CZ"/>
        </w:rPr>
      </w:pPr>
    </w:p>
    <w:p w14:paraId="468E465A" w14:textId="145380F9" w:rsidR="009E6013" w:rsidRDefault="009E6013" w:rsidP="009E6013">
      <w:pPr>
        <w:snapToGrid w:val="0"/>
        <w:spacing w:after="120"/>
        <w:jc w:val="both"/>
        <w:rPr>
          <w:iCs/>
          <w:lang w:val="cs-CZ"/>
        </w:rPr>
      </w:pPr>
    </w:p>
    <w:p w14:paraId="628797A3" w14:textId="77777777" w:rsidR="009E6013" w:rsidRPr="00A808A0" w:rsidRDefault="009E6013" w:rsidP="009E6013">
      <w:pPr>
        <w:snapToGrid w:val="0"/>
        <w:spacing w:after="120"/>
        <w:jc w:val="both"/>
        <w:rPr>
          <w:i/>
          <w:iCs/>
          <w:lang w:val="cs-CZ"/>
        </w:rPr>
      </w:pPr>
    </w:p>
    <w:p w14:paraId="7169A04E" w14:textId="3C4F224A" w:rsidR="00187667" w:rsidRDefault="00187667" w:rsidP="009E6013">
      <w:pPr>
        <w:pStyle w:val="Odstavecseseznamem"/>
        <w:numPr>
          <w:ilvl w:val="0"/>
          <w:numId w:val="24"/>
        </w:numPr>
        <w:snapToGrid w:val="0"/>
        <w:spacing w:after="120"/>
        <w:jc w:val="both"/>
        <w:rPr>
          <w:b/>
          <w:u w:val="single"/>
          <w:lang w:val="cs-CZ"/>
        </w:rPr>
      </w:pPr>
      <w:r w:rsidRPr="00A808A0">
        <w:rPr>
          <w:b/>
          <w:u w:val="single"/>
          <w:lang w:val="cs-CZ"/>
        </w:rPr>
        <w:t>Gesce MO</w:t>
      </w:r>
    </w:p>
    <w:p w14:paraId="42E345B4" w14:textId="77777777" w:rsidR="009E6013" w:rsidRPr="00A808A0" w:rsidRDefault="009E6013" w:rsidP="009E6013">
      <w:pPr>
        <w:pStyle w:val="Odstavecseseznamem"/>
        <w:snapToGrid w:val="0"/>
        <w:spacing w:after="120"/>
        <w:ind w:left="1080"/>
        <w:jc w:val="both"/>
        <w:rPr>
          <w:b/>
          <w:u w:val="single"/>
          <w:lang w:val="cs-CZ"/>
        </w:rPr>
      </w:pPr>
    </w:p>
    <w:p w14:paraId="16BA28AA" w14:textId="723EE1CE" w:rsidR="00F0633E" w:rsidRPr="00A808A0" w:rsidRDefault="00B725B4" w:rsidP="009E6013">
      <w:pPr>
        <w:snapToGrid w:val="0"/>
        <w:spacing w:after="120"/>
        <w:jc w:val="both"/>
        <w:rPr>
          <w:lang w:val="cs-CZ"/>
        </w:rPr>
      </w:pPr>
      <w:r w:rsidRPr="00A808A0">
        <w:rPr>
          <w:b/>
          <w:lang w:val="cs-CZ"/>
        </w:rPr>
        <w:t>V roce 2020</w:t>
      </w:r>
      <w:r w:rsidR="00CA0562" w:rsidRPr="00A808A0">
        <w:rPr>
          <w:b/>
          <w:lang w:val="cs-CZ"/>
        </w:rPr>
        <w:t xml:space="preserve"> </w:t>
      </w:r>
      <w:r w:rsidRPr="00A808A0">
        <w:rPr>
          <w:b/>
          <w:lang w:val="cs-CZ"/>
        </w:rPr>
        <w:t>vzrostl podíl</w:t>
      </w:r>
      <w:r w:rsidR="00CA0562" w:rsidRPr="00A808A0">
        <w:rPr>
          <w:b/>
          <w:lang w:val="cs-CZ"/>
        </w:rPr>
        <w:t xml:space="preserve"> </w:t>
      </w:r>
      <w:r w:rsidR="00040F6D" w:rsidRPr="00A808A0">
        <w:rPr>
          <w:b/>
          <w:lang w:val="cs-CZ"/>
        </w:rPr>
        <w:t>vojákyň v zahraničních a pozorovatelských misích</w:t>
      </w:r>
      <w:r w:rsidR="00187667" w:rsidRPr="00A808A0">
        <w:rPr>
          <w:b/>
          <w:lang w:val="cs-CZ"/>
        </w:rPr>
        <w:t>,</w:t>
      </w:r>
      <w:r w:rsidR="00040F6D" w:rsidRPr="00A808A0">
        <w:rPr>
          <w:b/>
          <w:lang w:val="cs-CZ"/>
        </w:rPr>
        <w:t xml:space="preserve"> </w:t>
      </w:r>
      <w:r w:rsidR="00030436" w:rsidRPr="00A808A0">
        <w:rPr>
          <w:b/>
          <w:lang w:val="cs-CZ"/>
        </w:rPr>
        <w:t>a to o</w:t>
      </w:r>
      <w:r w:rsidRPr="00A808A0">
        <w:rPr>
          <w:b/>
          <w:lang w:val="cs-CZ"/>
        </w:rPr>
        <w:t xml:space="preserve"> jeden procentní bod na současných 5</w:t>
      </w:r>
      <w:r w:rsidR="00EF09D4" w:rsidRPr="00A808A0">
        <w:rPr>
          <w:b/>
          <w:lang w:val="cs-CZ"/>
        </w:rPr>
        <w:t xml:space="preserve"> </w:t>
      </w:r>
      <w:r w:rsidR="00030436" w:rsidRPr="00A808A0">
        <w:rPr>
          <w:b/>
          <w:lang w:val="cs-CZ"/>
        </w:rPr>
        <w:t>%</w:t>
      </w:r>
      <w:r w:rsidRPr="00A808A0">
        <w:rPr>
          <w:b/>
          <w:lang w:val="cs-CZ"/>
        </w:rPr>
        <w:t>, na úroveň roku 2018</w:t>
      </w:r>
      <w:r w:rsidR="00030436" w:rsidRPr="00A808A0">
        <w:rPr>
          <w:b/>
          <w:lang w:val="cs-CZ"/>
        </w:rPr>
        <w:t>.</w:t>
      </w:r>
      <w:r w:rsidR="00030436" w:rsidRPr="00A808A0">
        <w:rPr>
          <w:lang w:val="cs-CZ"/>
        </w:rPr>
        <w:t xml:space="preserve"> </w:t>
      </w:r>
      <w:r w:rsidRPr="00A808A0">
        <w:rPr>
          <w:lang w:val="cs-CZ"/>
        </w:rPr>
        <w:t>V</w:t>
      </w:r>
      <w:r w:rsidR="006A3702" w:rsidRPr="00A808A0">
        <w:rPr>
          <w:lang w:val="cs-CZ"/>
        </w:rPr>
        <w:t>ojákyně jsou do zahraničních operací vysílány jako součást vybraného útvaru a jejich účast v průběhu let musí být vnímána vždy v kontextu s plněným</w:t>
      </w:r>
      <w:r w:rsidR="00F0633E" w:rsidRPr="00A808A0">
        <w:rPr>
          <w:lang w:val="cs-CZ"/>
        </w:rPr>
        <w:t>i</w:t>
      </w:r>
      <w:r w:rsidR="006A3702" w:rsidRPr="00A808A0">
        <w:rPr>
          <w:lang w:val="cs-CZ"/>
        </w:rPr>
        <w:t xml:space="preserve"> operačními úkoly kontingentů AČR</w:t>
      </w:r>
      <w:r w:rsidRPr="00A808A0">
        <w:rPr>
          <w:lang w:val="cs-CZ"/>
        </w:rPr>
        <w:t xml:space="preserve"> v daném kalendářním roce</w:t>
      </w:r>
      <w:r w:rsidR="006A3702" w:rsidRPr="00A808A0">
        <w:rPr>
          <w:lang w:val="cs-CZ"/>
        </w:rPr>
        <w:t>. Charakter úkolů, které příslušníci a příslušnice kontingentů AČR plní, se každoročně mění a s tím se mění i reálné uplatnění</w:t>
      </w:r>
      <w:r w:rsidR="00B97101" w:rsidRPr="00A808A0">
        <w:rPr>
          <w:lang w:val="cs-CZ"/>
        </w:rPr>
        <w:t xml:space="preserve"> vojákyň. Jedná se například</w:t>
      </w:r>
      <w:r w:rsidR="006A3702" w:rsidRPr="00A808A0">
        <w:rPr>
          <w:lang w:val="cs-CZ"/>
        </w:rPr>
        <w:t xml:space="preserve"> o potřebu vysílat konkrétní profese (odbornosti), které jsou v AČR vykonávány z různých objektivních důvodů pouze vojáky – muži. </w:t>
      </w:r>
      <w:r w:rsidR="00F0633E" w:rsidRPr="00A808A0">
        <w:rPr>
          <w:lang w:val="cs-CZ"/>
        </w:rPr>
        <w:t>Graf č. 1 ilustruje podíl žen v zahraničních operacích a pozorovatelských misíc</w:t>
      </w:r>
      <w:r w:rsidRPr="00A808A0">
        <w:rPr>
          <w:lang w:val="cs-CZ"/>
        </w:rPr>
        <w:t>h OSN, které v období 1. 1. 2020 – 31. 12. 2020</w:t>
      </w:r>
      <w:r w:rsidR="00F0633E" w:rsidRPr="00A808A0">
        <w:rPr>
          <w:lang w:val="cs-CZ"/>
        </w:rPr>
        <w:t xml:space="preserve"> na misi působily. C</w:t>
      </w:r>
      <w:r w:rsidRPr="00A808A0">
        <w:rPr>
          <w:lang w:val="cs-CZ"/>
        </w:rPr>
        <w:t>elkem se jednalo o 64</w:t>
      </w:r>
      <w:r w:rsidR="00F0633E" w:rsidRPr="00A808A0">
        <w:rPr>
          <w:lang w:val="cs-CZ"/>
        </w:rPr>
        <w:t xml:space="preserve"> vojákyň a </w:t>
      </w:r>
      <w:r w:rsidRPr="00A808A0">
        <w:rPr>
          <w:lang w:val="cs-CZ"/>
        </w:rPr>
        <w:t>1 325</w:t>
      </w:r>
      <w:r w:rsidR="00F0633E" w:rsidRPr="00A808A0">
        <w:rPr>
          <w:lang w:val="cs-CZ"/>
        </w:rPr>
        <w:t xml:space="preserve"> vojá</w:t>
      </w:r>
      <w:r w:rsidR="001139DC" w:rsidRPr="00A808A0">
        <w:rPr>
          <w:lang w:val="cs-CZ"/>
        </w:rPr>
        <w:t>ků v těchto operacích a misích.</w:t>
      </w:r>
    </w:p>
    <w:p w14:paraId="712F17DE" w14:textId="77777777" w:rsidR="006615ED" w:rsidRPr="00A808A0" w:rsidRDefault="006615ED" w:rsidP="009E6013">
      <w:pPr>
        <w:snapToGrid w:val="0"/>
        <w:spacing w:after="120"/>
        <w:jc w:val="both"/>
        <w:rPr>
          <w:i/>
          <w:iCs/>
          <w:lang w:val="cs-CZ"/>
        </w:rPr>
      </w:pPr>
    </w:p>
    <w:p w14:paraId="6EE495EB" w14:textId="77777777" w:rsidR="009E6013" w:rsidRDefault="009E6013" w:rsidP="009E6013">
      <w:pPr>
        <w:snapToGrid w:val="0"/>
        <w:spacing w:after="120"/>
        <w:jc w:val="both"/>
        <w:rPr>
          <w:b/>
          <w:i/>
          <w:iCs/>
          <w:lang w:val="cs-CZ"/>
        </w:rPr>
      </w:pPr>
    </w:p>
    <w:p w14:paraId="411A2854" w14:textId="226A9BB8" w:rsidR="006615ED" w:rsidRPr="00A808A0" w:rsidRDefault="00F0633E" w:rsidP="009E6013">
      <w:pPr>
        <w:snapToGrid w:val="0"/>
        <w:spacing w:after="120"/>
        <w:jc w:val="both"/>
        <w:rPr>
          <w:b/>
          <w:i/>
          <w:iCs/>
          <w:lang w:val="cs-CZ"/>
        </w:rPr>
      </w:pPr>
      <w:r w:rsidRPr="00A808A0">
        <w:rPr>
          <w:b/>
          <w:i/>
          <w:iCs/>
          <w:lang w:val="cs-CZ"/>
        </w:rPr>
        <w:lastRenderedPageBreak/>
        <w:t>Graf č. 1: Vývoj podílu vojákyň v zahraničních operacích a pozoro</w:t>
      </w:r>
      <w:r w:rsidR="00B725B4" w:rsidRPr="00A808A0">
        <w:rPr>
          <w:b/>
          <w:i/>
          <w:iCs/>
          <w:lang w:val="cs-CZ"/>
        </w:rPr>
        <w:t>vatelských misích k 31. 12. 2020</w:t>
      </w:r>
    </w:p>
    <w:p w14:paraId="6FA31653" w14:textId="77777777" w:rsidR="00B725B4" w:rsidRPr="00A808A0" w:rsidRDefault="00B725B4" w:rsidP="009E6013">
      <w:pPr>
        <w:snapToGrid w:val="0"/>
        <w:spacing w:after="120"/>
        <w:jc w:val="both"/>
        <w:rPr>
          <w:iCs/>
          <w:noProof/>
          <w:lang w:val="cs-CZ" w:eastAsia="cs-CZ"/>
        </w:rPr>
      </w:pPr>
    </w:p>
    <w:p w14:paraId="133BA824" w14:textId="77777777" w:rsidR="0052713D" w:rsidRPr="00A808A0" w:rsidRDefault="00B725B4" w:rsidP="009E6013">
      <w:pPr>
        <w:snapToGrid w:val="0"/>
        <w:spacing w:after="120"/>
        <w:jc w:val="both"/>
        <w:rPr>
          <w:i/>
          <w:iCs/>
          <w:noProof/>
          <w:lang w:val="cs-CZ" w:eastAsia="cs-CZ"/>
        </w:rPr>
      </w:pPr>
      <w:r w:rsidRPr="00A808A0">
        <w:rPr>
          <w:noProof/>
          <w:lang w:val="cs-CZ" w:eastAsia="cs-CZ"/>
        </w:rPr>
        <w:drawing>
          <wp:inline distT="0" distB="0" distL="0" distR="0" wp14:anchorId="2B97928E" wp14:editId="5EF22856">
            <wp:extent cx="5394960" cy="2743200"/>
            <wp:effectExtent l="0" t="0" r="1524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669D9C" w14:textId="77777777" w:rsidR="0052713D" w:rsidRPr="00A808A0" w:rsidRDefault="0052713D" w:rsidP="009E6013">
      <w:pPr>
        <w:snapToGrid w:val="0"/>
        <w:spacing w:after="120"/>
        <w:jc w:val="both"/>
        <w:rPr>
          <w:i/>
          <w:iCs/>
          <w:noProof/>
          <w:lang w:val="cs-CZ" w:eastAsia="cs-CZ"/>
        </w:rPr>
      </w:pPr>
    </w:p>
    <w:p w14:paraId="50A496A8" w14:textId="4B00EDED" w:rsidR="009D6F01" w:rsidRPr="00A808A0" w:rsidRDefault="00F0633E" w:rsidP="009E6013">
      <w:pPr>
        <w:snapToGrid w:val="0"/>
        <w:spacing w:after="120"/>
        <w:jc w:val="both"/>
        <w:rPr>
          <w:iCs/>
          <w:lang w:val="cs-CZ"/>
        </w:rPr>
      </w:pPr>
      <w:r w:rsidRPr="00A808A0">
        <w:rPr>
          <w:b/>
          <w:lang w:val="cs-CZ"/>
        </w:rPr>
        <w:t xml:space="preserve">Do pozorovatelských misí </w:t>
      </w:r>
      <w:r w:rsidR="009D6F01" w:rsidRPr="00A808A0">
        <w:rPr>
          <w:b/>
          <w:lang w:val="cs-CZ"/>
        </w:rPr>
        <w:t xml:space="preserve">bylo </w:t>
      </w:r>
      <w:r w:rsidR="0052713D" w:rsidRPr="00A808A0">
        <w:rPr>
          <w:b/>
          <w:lang w:val="cs-CZ"/>
        </w:rPr>
        <w:t>v roce 2020</w:t>
      </w:r>
      <w:r w:rsidRPr="00A808A0">
        <w:rPr>
          <w:b/>
          <w:lang w:val="cs-CZ"/>
        </w:rPr>
        <w:t xml:space="preserve"> celkem </w:t>
      </w:r>
      <w:r w:rsidR="009D6F01" w:rsidRPr="00A808A0">
        <w:rPr>
          <w:b/>
          <w:lang w:val="cs-CZ"/>
        </w:rPr>
        <w:t>vysláno</w:t>
      </w:r>
      <w:r w:rsidR="0052713D" w:rsidRPr="00A808A0">
        <w:rPr>
          <w:lang w:val="cs-CZ"/>
        </w:rPr>
        <w:t xml:space="preserve"> 20</w:t>
      </w:r>
      <w:r w:rsidR="009D6F01" w:rsidRPr="00A808A0">
        <w:rPr>
          <w:lang w:val="cs-CZ"/>
        </w:rPr>
        <w:t xml:space="preserve"> příslušníků/příslušnic AČR z toho </w:t>
      </w:r>
      <w:r w:rsidR="0052713D" w:rsidRPr="00A808A0">
        <w:rPr>
          <w:b/>
          <w:lang w:val="cs-CZ"/>
        </w:rPr>
        <w:t>5</w:t>
      </w:r>
      <w:r w:rsidR="009D6F01" w:rsidRPr="00A808A0">
        <w:rPr>
          <w:b/>
          <w:lang w:val="cs-CZ"/>
        </w:rPr>
        <w:t xml:space="preserve"> žen, což je </w:t>
      </w:r>
      <w:r w:rsidR="0052713D" w:rsidRPr="00A808A0">
        <w:rPr>
          <w:b/>
          <w:lang w:val="cs-CZ"/>
        </w:rPr>
        <w:t>25</w:t>
      </w:r>
      <w:r w:rsidR="00902F68" w:rsidRPr="00A808A0">
        <w:rPr>
          <w:b/>
          <w:lang w:val="cs-CZ"/>
        </w:rPr>
        <w:t xml:space="preserve"> </w:t>
      </w:r>
      <w:r w:rsidR="009D6F01" w:rsidRPr="00A808A0">
        <w:rPr>
          <w:b/>
          <w:lang w:val="cs-CZ"/>
        </w:rPr>
        <w:t>%</w:t>
      </w:r>
      <w:r w:rsidR="009D6F01" w:rsidRPr="00A808A0">
        <w:rPr>
          <w:lang w:val="cs-CZ"/>
        </w:rPr>
        <w:t xml:space="preserve"> zastoupení žen (2 ženy</w:t>
      </w:r>
      <w:r w:rsidR="0052713D" w:rsidRPr="00A808A0">
        <w:rPr>
          <w:lang w:val="cs-CZ"/>
        </w:rPr>
        <w:t xml:space="preserve"> v UNDOF Izrael,</w:t>
      </w:r>
      <w:r w:rsidRPr="00A808A0">
        <w:rPr>
          <w:lang w:val="cs-CZ"/>
        </w:rPr>
        <w:t xml:space="preserve"> 3 ženy MINUSCA Kongo). </w:t>
      </w:r>
      <w:r w:rsidR="0052713D" w:rsidRPr="00A808A0">
        <w:rPr>
          <w:lang w:val="cs-CZ"/>
        </w:rPr>
        <w:t xml:space="preserve">ČR aktuálně naplňuje dílčí cíle strategie k dosahování genderové parity v misích OSN. </w:t>
      </w:r>
      <w:r w:rsidR="009D6F01" w:rsidRPr="00A808A0">
        <w:rPr>
          <w:lang w:val="cs-CZ"/>
        </w:rPr>
        <w:t>Po</w:t>
      </w:r>
      <w:r w:rsidRPr="00A808A0">
        <w:rPr>
          <w:lang w:val="cs-CZ"/>
        </w:rPr>
        <w:t>díl žen ve vybranýc</w:t>
      </w:r>
      <w:r w:rsidR="0052713D" w:rsidRPr="00A808A0">
        <w:rPr>
          <w:lang w:val="cs-CZ"/>
        </w:rPr>
        <w:t>h jednotkách pak byl v roce 2020</w:t>
      </w:r>
      <w:r w:rsidRPr="00A808A0">
        <w:rPr>
          <w:lang w:val="cs-CZ"/>
        </w:rPr>
        <w:t xml:space="preserve"> následující:</w:t>
      </w:r>
      <w:r w:rsidR="009D6F01" w:rsidRPr="00A808A0">
        <w:rPr>
          <w:lang w:val="cs-CZ"/>
        </w:rPr>
        <w:t xml:space="preserve"> </w:t>
      </w:r>
    </w:p>
    <w:p w14:paraId="55348492" w14:textId="18810905" w:rsidR="009D6F01" w:rsidRPr="00A808A0" w:rsidRDefault="009D6F01" w:rsidP="009E6013">
      <w:pPr>
        <w:pStyle w:val="Odstavecseseznamem"/>
        <w:numPr>
          <w:ilvl w:val="0"/>
          <w:numId w:val="19"/>
        </w:numPr>
        <w:snapToGrid w:val="0"/>
        <w:spacing w:after="120"/>
        <w:jc w:val="both"/>
        <w:rPr>
          <w:lang w:val="cs-CZ"/>
        </w:rPr>
      </w:pPr>
      <w:r w:rsidRPr="00A808A0">
        <w:rPr>
          <w:lang w:val="cs-CZ"/>
        </w:rPr>
        <w:t>European United Force in operation ALTHEA Bosna a Hercegovina 50 % (2 ženy velitelky</w:t>
      </w:r>
      <w:r w:rsidR="0052713D" w:rsidRPr="00A808A0">
        <w:rPr>
          <w:lang w:val="cs-CZ"/>
        </w:rPr>
        <w:t xml:space="preserve">, </w:t>
      </w:r>
      <w:r w:rsidR="00284463" w:rsidRPr="00A808A0">
        <w:rPr>
          <w:lang w:val="cs-CZ"/>
        </w:rPr>
        <w:t>tj.</w:t>
      </w:r>
      <w:r w:rsidR="0052713D" w:rsidRPr="00A808A0">
        <w:rPr>
          <w:lang w:val="cs-CZ"/>
        </w:rPr>
        <w:t xml:space="preserve"> 100% podíl</w:t>
      </w:r>
      <w:r w:rsidRPr="00A808A0">
        <w:rPr>
          <w:lang w:val="cs-CZ"/>
        </w:rPr>
        <w:t xml:space="preserve">) </w:t>
      </w:r>
    </w:p>
    <w:p w14:paraId="729DCB24" w14:textId="72B79554" w:rsidR="009D6F01" w:rsidRPr="00A808A0" w:rsidRDefault="009D6F01" w:rsidP="009E6013">
      <w:pPr>
        <w:pStyle w:val="Odstavecseseznamem"/>
        <w:numPr>
          <w:ilvl w:val="0"/>
          <w:numId w:val="19"/>
        </w:numPr>
        <w:snapToGrid w:val="0"/>
        <w:spacing w:after="120"/>
        <w:jc w:val="both"/>
        <w:rPr>
          <w:lang w:val="cs-CZ"/>
        </w:rPr>
      </w:pPr>
      <w:r w:rsidRPr="00A808A0">
        <w:rPr>
          <w:lang w:val="cs-CZ"/>
        </w:rPr>
        <w:t>ÚU AČR Baltic AIR Policing Estonsko 6 %</w:t>
      </w:r>
    </w:p>
    <w:p w14:paraId="2A872448" w14:textId="0A77C3F4" w:rsidR="009D6F01" w:rsidRPr="00A808A0" w:rsidRDefault="0052713D" w:rsidP="009E6013">
      <w:pPr>
        <w:pStyle w:val="Odstavecseseznamem"/>
        <w:numPr>
          <w:ilvl w:val="0"/>
          <w:numId w:val="19"/>
        </w:numPr>
        <w:snapToGrid w:val="0"/>
        <w:spacing w:after="120"/>
        <w:jc w:val="both"/>
        <w:rPr>
          <w:lang w:val="cs-CZ"/>
        </w:rPr>
      </w:pPr>
      <w:r w:rsidRPr="00A808A0">
        <w:rPr>
          <w:lang w:val="cs-CZ"/>
        </w:rPr>
        <w:t>ÚU AČR eFP Lotyšsko 4</w:t>
      </w:r>
      <w:r w:rsidR="009D6F01" w:rsidRPr="00A808A0">
        <w:rPr>
          <w:lang w:val="cs-CZ"/>
        </w:rPr>
        <w:t xml:space="preserve"> %</w:t>
      </w:r>
    </w:p>
    <w:p w14:paraId="1D87AFE8" w14:textId="022F314F" w:rsidR="009D6F01" w:rsidRPr="00A808A0" w:rsidRDefault="0052713D" w:rsidP="009E6013">
      <w:pPr>
        <w:pStyle w:val="Odstavecseseznamem"/>
        <w:numPr>
          <w:ilvl w:val="0"/>
          <w:numId w:val="19"/>
        </w:numPr>
        <w:snapToGrid w:val="0"/>
        <w:spacing w:after="120"/>
        <w:jc w:val="both"/>
        <w:rPr>
          <w:lang w:val="cs-CZ"/>
        </w:rPr>
      </w:pPr>
      <w:r w:rsidRPr="00A808A0">
        <w:rPr>
          <w:lang w:val="cs-CZ"/>
        </w:rPr>
        <w:t>ÚU AČR KFOR Kosovo 6</w:t>
      </w:r>
      <w:r w:rsidR="009D6F01" w:rsidRPr="00A808A0">
        <w:rPr>
          <w:lang w:val="cs-CZ"/>
        </w:rPr>
        <w:t xml:space="preserve"> % (</w:t>
      </w:r>
      <w:r w:rsidRPr="00A808A0">
        <w:rPr>
          <w:lang w:val="cs-CZ"/>
        </w:rPr>
        <w:t xml:space="preserve">1 </w:t>
      </w:r>
      <w:r w:rsidR="009D6F01" w:rsidRPr="00A808A0">
        <w:rPr>
          <w:lang w:val="cs-CZ"/>
        </w:rPr>
        <w:t>žena velitelka</w:t>
      </w:r>
      <w:r w:rsidRPr="00A808A0">
        <w:rPr>
          <w:lang w:val="cs-CZ"/>
        </w:rPr>
        <w:t xml:space="preserve">, </w:t>
      </w:r>
      <w:r w:rsidR="00284463" w:rsidRPr="00A808A0">
        <w:rPr>
          <w:lang w:val="cs-CZ"/>
        </w:rPr>
        <w:t>tj.</w:t>
      </w:r>
      <w:r w:rsidRPr="00A808A0">
        <w:rPr>
          <w:lang w:val="cs-CZ"/>
        </w:rPr>
        <w:t xml:space="preserve"> 50% podíl</w:t>
      </w:r>
      <w:r w:rsidR="009D6F01" w:rsidRPr="00A808A0">
        <w:rPr>
          <w:lang w:val="cs-CZ"/>
        </w:rPr>
        <w:t>)</w:t>
      </w:r>
    </w:p>
    <w:p w14:paraId="79741146" w14:textId="77777777" w:rsidR="009D6F01" w:rsidRPr="00A808A0" w:rsidRDefault="009D6F01" w:rsidP="009E6013">
      <w:pPr>
        <w:pStyle w:val="Odstavecseseznamem"/>
        <w:numPr>
          <w:ilvl w:val="0"/>
          <w:numId w:val="19"/>
        </w:numPr>
        <w:snapToGrid w:val="0"/>
        <w:spacing w:after="120"/>
        <w:jc w:val="both"/>
        <w:rPr>
          <w:lang w:val="cs-CZ"/>
        </w:rPr>
      </w:pPr>
      <w:r w:rsidRPr="00A808A0">
        <w:rPr>
          <w:lang w:val="cs-CZ"/>
        </w:rPr>
        <w:t>ÚU AČR Irák – velení 8 %</w:t>
      </w:r>
    </w:p>
    <w:p w14:paraId="74C79AE5" w14:textId="2D3C52DE" w:rsidR="009D6F01" w:rsidRPr="00A808A0" w:rsidRDefault="009D6F01" w:rsidP="009E6013">
      <w:pPr>
        <w:pStyle w:val="Odstavecseseznamem"/>
        <w:numPr>
          <w:ilvl w:val="0"/>
          <w:numId w:val="19"/>
        </w:numPr>
        <w:snapToGrid w:val="0"/>
        <w:spacing w:after="120"/>
        <w:jc w:val="both"/>
        <w:rPr>
          <w:lang w:val="cs-CZ"/>
        </w:rPr>
      </w:pPr>
      <w:r w:rsidRPr="00A808A0">
        <w:rPr>
          <w:lang w:val="cs-CZ"/>
        </w:rPr>
        <w:t>ÚU AČR Irák – výcviková jednotka chemické</w:t>
      </w:r>
      <w:r w:rsidR="0052713D" w:rsidRPr="00A808A0">
        <w:rPr>
          <w:lang w:val="cs-CZ"/>
        </w:rPr>
        <w:t>ho vojska 8</w:t>
      </w:r>
      <w:r w:rsidRPr="00A808A0">
        <w:rPr>
          <w:lang w:val="cs-CZ"/>
        </w:rPr>
        <w:t xml:space="preserve"> %</w:t>
      </w:r>
    </w:p>
    <w:p w14:paraId="288E35C2" w14:textId="2B30D2C2" w:rsidR="009D6F01" w:rsidRPr="00A808A0" w:rsidRDefault="0052713D" w:rsidP="009E6013">
      <w:pPr>
        <w:pStyle w:val="Odstavecseseznamem"/>
        <w:numPr>
          <w:ilvl w:val="0"/>
          <w:numId w:val="19"/>
        </w:numPr>
        <w:snapToGrid w:val="0"/>
        <w:spacing w:after="120"/>
        <w:jc w:val="both"/>
        <w:rPr>
          <w:lang w:val="cs-CZ"/>
        </w:rPr>
      </w:pPr>
      <w:r w:rsidRPr="00A808A0">
        <w:rPr>
          <w:lang w:val="cs-CZ"/>
        </w:rPr>
        <w:t>ÚU AČR Mali – skupina MINUSMA 6</w:t>
      </w:r>
      <w:r w:rsidR="009D6F01" w:rsidRPr="00A808A0">
        <w:rPr>
          <w:lang w:val="cs-CZ"/>
        </w:rPr>
        <w:t>0 %</w:t>
      </w:r>
    </w:p>
    <w:p w14:paraId="72B122F9" w14:textId="6F3C339B" w:rsidR="009D6F01" w:rsidRPr="00A808A0" w:rsidRDefault="0052713D" w:rsidP="009E6013">
      <w:pPr>
        <w:pStyle w:val="Odstavecseseznamem"/>
        <w:numPr>
          <w:ilvl w:val="0"/>
          <w:numId w:val="19"/>
        </w:numPr>
        <w:snapToGrid w:val="0"/>
        <w:spacing w:after="120"/>
        <w:jc w:val="both"/>
        <w:rPr>
          <w:lang w:val="cs-CZ"/>
        </w:rPr>
      </w:pPr>
      <w:r w:rsidRPr="00A808A0">
        <w:rPr>
          <w:lang w:val="cs-CZ"/>
        </w:rPr>
        <w:t>ÚU AČR Mali – velení 10</w:t>
      </w:r>
      <w:r w:rsidR="009D6F01" w:rsidRPr="00A808A0">
        <w:rPr>
          <w:lang w:val="cs-CZ"/>
        </w:rPr>
        <w:t xml:space="preserve"> %</w:t>
      </w:r>
    </w:p>
    <w:p w14:paraId="7394BCB6" w14:textId="5D3CFB83" w:rsidR="0052713D" w:rsidRPr="00A808A0" w:rsidRDefault="0052713D" w:rsidP="009E6013">
      <w:pPr>
        <w:pStyle w:val="Odstavecseseznamem"/>
        <w:numPr>
          <w:ilvl w:val="0"/>
          <w:numId w:val="19"/>
        </w:numPr>
        <w:snapToGrid w:val="0"/>
        <w:spacing w:after="120"/>
        <w:jc w:val="both"/>
        <w:rPr>
          <w:lang w:val="cs-CZ"/>
        </w:rPr>
      </w:pPr>
      <w:r w:rsidRPr="00A808A0">
        <w:rPr>
          <w:lang w:val="cs-CZ"/>
        </w:rPr>
        <w:t>ÚU AČR RS – polní chirurgický tým Afghánistán 27 % (1 žena velitelka tj. 33</w:t>
      </w:r>
      <w:r w:rsidR="00BC46D0" w:rsidRPr="00A808A0">
        <w:rPr>
          <w:lang w:val="cs-CZ"/>
        </w:rPr>
        <w:t xml:space="preserve"> </w:t>
      </w:r>
      <w:r w:rsidRPr="00A808A0">
        <w:rPr>
          <w:lang w:val="cs-CZ"/>
        </w:rPr>
        <w:t>% podíl)</w:t>
      </w:r>
    </w:p>
    <w:p w14:paraId="23DFD990" w14:textId="7F5E5DF3" w:rsidR="009D6F01" w:rsidRPr="00A808A0" w:rsidRDefault="009D6F01" w:rsidP="009E6013">
      <w:pPr>
        <w:pStyle w:val="Odstavecseseznamem"/>
        <w:numPr>
          <w:ilvl w:val="0"/>
          <w:numId w:val="19"/>
        </w:numPr>
        <w:snapToGrid w:val="0"/>
        <w:spacing w:after="120"/>
        <w:jc w:val="both"/>
        <w:rPr>
          <w:lang w:val="cs-CZ"/>
        </w:rPr>
      </w:pPr>
      <w:r w:rsidRPr="00A808A0">
        <w:rPr>
          <w:lang w:val="cs-CZ"/>
        </w:rPr>
        <w:t xml:space="preserve">ÚU AČR </w:t>
      </w:r>
      <w:r w:rsidR="0052713D" w:rsidRPr="00A808A0">
        <w:rPr>
          <w:lang w:val="cs-CZ"/>
        </w:rPr>
        <w:t xml:space="preserve"> RS – Velitelství Afghánistán 10</w:t>
      </w:r>
      <w:r w:rsidRPr="00A808A0">
        <w:rPr>
          <w:lang w:val="cs-CZ"/>
        </w:rPr>
        <w:t xml:space="preserve"> % </w:t>
      </w:r>
    </w:p>
    <w:p w14:paraId="5DAA2A33" w14:textId="2C892B8C" w:rsidR="009D6F01" w:rsidRPr="00A808A0" w:rsidRDefault="009D6F01" w:rsidP="009E6013">
      <w:pPr>
        <w:pStyle w:val="Odstavecseseznamem"/>
        <w:numPr>
          <w:ilvl w:val="0"/>
          <w:numId w:val="19"/>
        </w:numPr>
        <w:snapToGrid w:val="0"/>
        <w:spacing w:after="120"/>
        <w:jc w:val="both"/>
        <w:rPr>
          <w:lang w:val="cs-CZ"/>
        </w:rPr>
      </w:pPr>
      <w:r w:rsidRPr="00A808A0">
        <w:rPr>
          <w:lang w:val="cs-CZ"/>
        </w:rPr>
        <w:t>ÚU AČR RS – zastoupení na</w:t>
      </w:r>
      <w:r w:rsidR="0052713D" w:rsidRPr="00A808A0">
        <w:rPr>
          <w:lang w:val="cs-CZ"/>
        </w:rPr>
        <w:t xml:space="preserve"> velitelstvích RS Afghánistán 13</w:t>
      </w:r>
      <w:r w:rsidRPr="00A808A0">
        <w:rPr>
          <w:lang w:val="cs-CZ"/>
        </w:rPr>
        <w:t xml:space="preserve"> %</w:t>
      </w:r>
    </w:p>
    <w:p w14:paraId="255857FA" w14:textId="20EB935B" w:rsidR="0052713D" w:rsidRPr="00A808A0" w:rsidRDefault="0052713D" w:rsidP="009E6013">
      <w:pPr>
        <w:pStyle w:val="Odstavecseseznamem"/>
        <w:numPr>
          <w:ilvl w:val="0"/>
          <w:numId w:val="19"/>
        </w:numPr>
        <w:snapToGrid w:val="0"/>
        <w:spacing w:after="120"/>
        <w:jc w:val="both"/>
        <w:rPr>
          <w:lang w:val="cs-CZ"/>
        </w:rPr>
      </w:pPr>
      <w:r w:rsidRPr="00A808A0">
        <w:rPr>
          <w:lang w:val="cs-CZ"/>
        </w:rPr>
        <w:t>V</w:t>
      </w:r>
      <w:r w:rsidR="00BC46D0" w:rsidRPr="00A808A0">
        <w:rPr>
          <w:lang w:val="cs-CZ"/>
        </w:rPr>
        <w:t>e</w:t>
      </w:r>
      <w:r w:rsidRPr="00A808A0">
        <w:rPr>
          <w:lang w:val="cs-CZ"/>
        </w:rPr>
        <w:t>litelství sil výcvikové mise v Mali 3%</w:t>
      </w:r>
    </w:p>
    <w:p w14:paraId="6421CBE7" w14:textId="653E48E7" w:rsidR="009D6F01" w:rsidRPr="00A808A0" w:rsidRDefault="009D6F01" w:rsidP="009E6013">
      <w:pPr>
        <w:snapToGrid w:val="0"/>
        <w:spacing w:after="120"/>
        <w:jc w:val="both"/>
        <w:rPr>
          <w:lang w:val="cs-CZ"/>
        </w:rPr>
      </w:pPr>
      <w:r w:rsidRPr="00A808A0">
        <w:rPr>
          <w:lang w:val="cs-CZ"/>
        </w:rPr>
        <w:t xml:space="preserve">Ženy do velitelských pozic v zahraničních operacích schvaluje </w:t>
      </w:r>
      <w:r w:rsidR="00BC46D0" w:rsidRPr="00A808A0">
        <w:rPr>
          <w:lang w:val="cs-CZ"/>
        </w:rPr>
        <w:t xml:space="preserve">velitel Velitelství pro operace </w:t>
      </w:r>
      <w:r w:rsidRPr="00A808A0">
        <w:rPr>
          <w:lang w:val="cs-CZ"/>
        </w:rPr>
        <w:t xml:space="preserve">na základě nominací velitelů jednotlivých součástí ozbrojených sil. Do dalších pozic vybírají ženy, včetně nižších velitelských funkcí, velitelé jednotek vysílaných do zahraničních operací. Účast schvaluje rovněž </w:t>
      </w:r>
      <w:r w:rsidR="00BC46D0" w:rsidRPr="00A808A0">
        <w:rPr>
          <w:lang w:val="cs-CZ"/>
        </w:rPr>
        <w:t>velitel Velitelství pro operace</w:t>
      </w:r>
      <w:r w:rsidRPr="00A808A0">
        <w:rPr>
          <w:lang w:val="cs-CZ"/>
        </w:rPr>
        <w:t xml:space="preserve">. </w:t>
      </w:r>
    </w:p>
    <w:p w14:paraId="75303AD2" w14:textId="538BCE80" w:rsidR="00C07F0E" w:rsidRPr="00A808A0" w:rsidRDefault="00C07F0E" w:rsidP="009E6013">
      <w:pPr>
        <w:snapToGrid w:val="0"/>
        <w:spacing w:after="120"/>
        <w:jc w:val="both"/>
        <w:rPr>
          <w:lang w:val="cs-CZ"/>
        </w:rPr>
      </w:pPr>
      <w:r w:rsidRPr="00A808A0">
        <w:rPr>
          <w:lang w:val="cs-CZ"/>
        </w:rPr>
        <w:t xml:space="preserve">Ve strukturách EU a NATO bylo v podřízenosti náčelníka </w:t>
      </w:r>
      <w:r w:rsidR="00BC46D0" w:rsidRPr="00A808A0">
        <w:rPr>
          <w:lang w:val="cs-CZ"/>
        </w:rPr>
        <w:t>Generálního štábu k 31. 12. 2020 vysláno 216</w:t>
      </w:r>
      <w:r w:rsidRPr="00A808A0">
        <w:rPr>
          <w:lang w:val="cs-CZ"/>
        </w:rPr>
        <w:t xml:space="preserve"> osob</w:t>
      </w:r>
      <w:r w:rsidRPr="00A808A0">
        <w:rPr>
          <w:rStyle w:val="Znakapoznpodarou"/>
          <w:lang w:val="cs-CZ"/>
        </w:rPr>
        <w:footnoteReference w:id="4"/>
      </w:r>
      <w:r w:rsidR="00BC46D0" w:rsidRPr="00A808A0">
        <w:rPr>
          <w:lang w:val="cs-CZ"/>
        </w:rPr>
        <w:t>, z toho 26</w:t>
      </w:r>
      <w:r w:rsidRPr="00A808A0">
        <w:rPr>
          <w:lang w:val="cs-CZ"/>
        </w:rPr>
        <w:t xml:space="preserve"> žen. </w:t>
      </w:r>
      <w:r w:rsidRPr="00A808A0">
        <w:rPr>
          <w:b/>
          <w:lang w:val="cs-CZ"/>
        </w:rPr>
        <w:t>Počet žen ve strukturách tak vzrost</w:t>
      </w:r>
      <w:r w:rsidR="00C71809" w:rsidRPr="00A808A0">
        <w:rPr>
          <w:b/>
          <w:lang w:val="cs-CZ"/>
        </w:rPr>
        <w:t>l</w:t>
      </w:r>
      <w:r w:rsidR="00BC46D0" w:rsidRPr="00A808A0">
        <w:rPr>
          <w:b/>
          <w:lang w:val="cs-CZ"/>
        </w:rPr>
        <w:t xml:space="preserve"> oproti roku 2019 z </w:t>
      </w:r>
      <w:r w:rsidR="00BC46D0" w:rsidRPr="00A808A0">
        <w:rPr>
          <w:b/>
          <w:lang w:val="cs-CZ"/>
        </w:rPr>
        <w:lastRenderedPageBreak/>
        <w:t>10 % na 12</w:t>
      </w:r>
      <w:r w:rsidRPr="00A808A0">
        <w:rPr>
          <w:b/>
          <w:lang w:val="cs-CZ"/>
        </w:rPr>
        <w:t xml:space="preserve"> %. </w:t>
      </w:r>
      <w:r w:rsidR="00BC46D0" w:rsidRPr="00A808A0">
        <w:rPr>
          <w:lang w:val="cs-CZ"/>
        </w:rPr>
        <w:t>Jen v roce 2020</w:t>
      </w:r>
      <w:r w:rsidRPr="00A808A0">
        <w:rPr>
          <w:lang w:val="cs-CZ"/>
        </w:rPr>
        <w:t xml:space="preserve"> př</w:t>
      </w:r>
      <w:r w:rsidR="00BC46D0" w:rsidRPr="00A808A0">
        <w:rPr>
          <w:lang w:val="cs-CZ"/>
        </w:rPr>
        <w:t>itom bylo do struktur vysláno 86 osob, z toho 12 žen, tedy 14 % oproti 11</w:t>
      </w:r>
      <w:r w:rsidRPr="00A808A0">
        <w:rPr>
          <w:lang w:val="cs-CZ"/>
        </w:rPr>
        <w:t xml:space="preserve"> % v roce </w:t>
      </w:r>
      <w:r w:rsidR="00BC46D0" w:rsidRPr="00A808A0">
        <w:rPr>
          <w:lang w:val="cs-CZ"/>
        </w:rPr>
        <w:t>2019</w:t>
      </w:r>
      <w:r w:rsidRPr="00A808A0">
        <w:rPr>
          <w:lang w:val="cs-CZ"/>
        </w:rPr>
        <w:t>.</w:t>
      </w:r>
    </w:p>
    <w:p w14:paraId="20C3E903" w14:textId="77777777" w:rsidR="00F0633E" w:rsidRPr="00A11983" w:rsidRDefault="00F0633E" w:rsidP="009E6013">
      <w:pPr>
        <w:snapToGrid w:val="0"/>
        <w:spacing w:after="120"/>
        <w:jc w:val="both"/>
        <w:rPr>
          <w:sz w:val="22"/>
          <w:szCs w:val="22"/>
          <w:lang w:val="cs-CZ"/>
        </w:rPr>
      </w:pPr>
    </w:p>
    <w:p w14:paraId="596C79FA" w14:textId="4A0321B0" w:rsidR="00040F6D" w:rsidRPr="00A808A0" w:rsidRDefault="00040F6D" w:rsidP="009E6013">
      <w:pPr>
        <w:snapToGrid w:val="0"/>
        <w:spacing w:after="120"/>
        <w:jc w:val="both"/>
        <w:rPr>
          <w:b/>
          <w:i/>
          <w:lang w:val="cs-CZ"/>
        </w:rPr>
      </w:pPr>
      <w:r w:rsidRPr="00A808A0">
        <w:rPr>
          <w:b/>
          <w:i/>
          <w:lang w:val="cs-CZ"/>
        </w:rPr>
        <w:t xml:space="preserve">Tabulka </w:t>
      </w:r>
      <w:r w:rsidR="00A9760E" w:rsidRPr="00A808A0">
        <w:rPr>
          <w:b/>
          <w:i/>
          <w:lang w:val="cs-CZ"/>
        </w:rPr>
        <w:t xml:space="preserve">č. </w:t>
      </w:r>
      <w:r w:rsidRPr="00A808A0">
        <w:rPr>
          <w:b/>
          <w:i/>
          <w:lang w:val="cs-CZ"/>
        </w:rPr>
        <w:t>2: Podíl žen a mužů ve strukturách NATO a EU (v podřízenosti náčelníka Generálního štábu AČR)</w:t>
      </w:r>
    </w:p>
    <w:tbl>
      <w:tblPr>
        <w:tblW w:w="9072" w:type="dxa"/>
        <w:tblCellMar>
          <w:left w:w="0" w:type="dxa"/>
          <w:right w:w="0" w:type="dxa"/>
        </w:tblCellMar>
        <w:tblLook w:val="0000" w:firstRow="0" w:lastRow="0" w:firstColumn="0" w:lastColumn="0" w:noHBand="0" w:noVBand="0"/>
      </w:tblPr>
      <w:tblGrid>
        <w:gridCol w:w="4663"/>
        <w:gridCol w:w="878"/>
        <w:gridCol w:w="847"/>
        <w:gridCol w:w="708"/>
        <w:gridCol w:w="1976"/>
      </w:tblGrid>
      <w:tr w:rsidR="00040F6D" w:rsidRPr="00A808A0" w14:paraId="165F3C27" w14:textId="77777777" w:rsidTr="005736EA">
        <w:trPr>
          <w:trHeight w:val="317"/>
        </w:trPr>
        <w:tc>
          <w:tcPr>
            <w:tcW w:w="4674"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center"/>
          </w:tcPr>
          <w:p w14:paraId="6C1F48D9" w14:textId="77777777" w:rsidR="00410C0F" w:rsidRPr="00A808A0" w:rsidRDefault="00040F6D" w:rsidP="009E6013">
            <w:pPr>
              <w:snapToGrid w:val="0"/>
              <w:spacing w:before="120"/>
              <w:jc w:val="center"/>
              <w:rPr>
                <w:b/>
                <w:color w:val="000000"/>
                <w:lang w:val="cs-CZ"/>
              </w:rPr>
            </w:pPr>
            <w:r w:rsidRPr="00A808A0">
              <w:rPr>
                <w:b/>
                <w:color w:val="000000"/>
                <w:lang w:val="cs-CZ"/>
              </w:rPr>
              <w:t xml:space="preserve">Osoby ve strukturách NATO a EU </w:t>
            </w:r>
          </w:p>
          <w:p w14:paraId="31905DF0" w14:textId="073A9031" w:rsidR="00040F6D" w:rsidRPr="00A808A0" w:rsidRDefault="00040F6D" w:rsidP="009E6013">
            <w:pPr>
              <w:snapToGrid w:val="0"/>
              <w:spacing w:before="120"/>
              <w:jc w:val="center"/>
              <w:rPr>
                <w:b/>
                <w:color w:val="000000"/>
                <w:lang w:val="cs-CZ"/>
              </w:rPr>
            </w:pPr>
            <w:r w:rsidRPr="00A808A0">
              <w:rPr>
                <w:b/>
                <w:color w:val="000000"/>
                <w:lang w:val="cs-CZ"/>
              </w:rPr>
              <w:t>(pracoviště Mons, Brusel, Norfolk)</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center"/>
          </w:tcPr>
          <w:p w14:paraId="0A708C2B" w14:textId="77777777" w:rsidR="00040F6D" w:rsidRPr="00A808A0" w:rsidRDefault="00040F6D" w:rsidP="009E6013">
            <w:pPr>
              <w:snapToGrid w:val="0"/>
              <w:spacing w:before="120"/>
              <w:jc w:val="center"/>
              <w:rPr>
                <w:b/>
                <w:color w:val="000000"/>
                <w:lang w:val="cs-CZ"/>
              </w:rPr>
            </w:pPr>
            <w:r w:rsidRPr="00A808A0">
              <w:rPr>
                <w:b/>
                <w:color w:val="000000"/>
                <w:lang w:val="cs-CZ"/>
              </w:rPr>
              <w:t>Celkem osob</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center"/>
          </w:tcPr>
          <w:p w14:paraId="1ABE0825" w14:textId="1B5FDE70" w:rsidR="00040F6D" w:rsidRPr="00A808A0" w:rsidRDefault="00040F6D" w:rsidP="009E6013">
            <w:pPr>
              <w:snapToGrid w:val="0"/>
              <w:spacing w:before="120"/>
              <w:jc w:val="center"/>
              <w:rPr>
                <w:b/>
                <w:color w:val="000000"/>
                <w:lang w:val="cs-CZ"/>
              </w:rPr>
            </w:pPr>
            <w:r w:rsidRPr="00A808A0">
              <w:rPr>
                <w:b/>
                <w:color w:val="000000"/>
                <w:lang w:val="cs-CZ"/>
              </w:rPr>
              <w:t>Muži</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center"/>
          </w:tcPr>
          <w:p w14:paraId="074B219A" w14:textId="47E5380B" w:rsidR="00040F6D" w:rsidRPr="00A808A0" w:rsidRDefault="00040F6D" w:rsidP="009E6013">
            <w:pPr>
              <w:snapToGrid w:val="0"/>
              <w:spacing w:before="120"/>
              <w:jc w:val="center"/>
              <w:rPr>
                <w:b/>
                <w:bCs/>
                <w:color w:val="000000"/>
                <w:lang w:val="cs-CZ"/>
              </w:rPr>
            </w:pPr>
            <w:r w:rsidRPr="00A808A0">
              <w:rPr>
                <w:b/>
                <w:bCs/>
                <w:color w:val="000000"/>
                <w:lang w:val="cs-CZ"/>
              </w:rPr>
              <w:t>Ženy</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Mar>
              <w:top w:w="15" w:type="dxa"/>
              <w:left w:w="15" w:type="dxa"/>
              <w:bottom w:w="0" w:type="dxa"/>
              <w:right w:w="15" w:type="dxa"/>
            </w:tcMar>
            <w:vAlign w:val="center"/>
          </w:tcPr>
          <w:p w14:paraId="6854C039" w14:textId="3FA3D12B" w:rsidR="00040F6D" w:rsidRPr="00A808A0" w:rsidRDefault="00040F6D" w:rsidP="009E6013">
            <w:pPr>
              <w:snapToGrid w:val="0"/>
              <w:spacing w:before="120"/>
              <w:ind w:left="57"/>
              <w:jc w:val="center"/>
              <w:rPr>
                <w:b/>
                <w:bCs/>
                <w:color w:val="000000"/>
                <w:lang w:val="cs-CZ"/>
              </w:rPr>
            </w:pPr>
            <w:r w:rsidRPr="00A808A0">
              <w:rPr>
                <w:b/>
                <w:bCs/>
                <w:color w:val="000000"/>
                <w:lang w:val="cs-CZ"/>
              </w:rPr>
              <w:t>Podíl žen na celkovém počtu osob</w:t>
            </w:r>
          </w:p>
        </w:tc>
      </w:tr>
      <w:tr w:rsidR="00040F6D" w:rsidRPr="00A808A0" w14:paraId="2813CA93" w14:textId="77777777" w:rsidTr="005736EA">
        <w:trPr>
          <w:trHeight w:val="437"/>
        </w:trPr>
        <w:tc>
          <w:tcPr>
            <w:tcW w:w="4674"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5E9357CB" w14:textId="77777777" w:rsidR="00040F6D" w:rsidRPr="00A808A0" w:rsidRDefault="00040F6D" w:rsidP="009E6013">
            <w:pPr>
              <w:snapToGrid w:val="0"/>
              <w:spacing w:after="120"/>
              <w:rPr>
                <w:b/>
                <w:bCs/>
                <w:color w:val="000000"/>
                <w:lang w:val="cs-CZ"/>
              </w:rPr>
            </w:pPr>
          </w:p>
        </w:tc>
        <w:tc>
          <w:tcPr>
            <w:tcW w:w="87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559BE65B" w14:textId="77777777" w:rsidR="00040F6D" w:rsidRPr="00A808A0" w:rsidRDefault="00040F6D" w:rsidP="009E6013">
            <w:pPr>
              <w:snapToGrid w:val="0"/>
              <w:spacing w:after="120"/>
              <w:rPr>
                <w:color w:val="000000"/>
                <w:lang w:val="cs-CZ"/>
              </w:rPr>
            </w:pPr>
          </w:p>
        </w:tc>
        <w:tc>
          <w:tcPr>
            <w:tcW w:w="84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58E10234" w14:textId="77777777" w:rsidR="00040F6D" w:rsidRPr="00A808A0" w:rsidRDefault="00040F6D" w:rsidP="009E6013">
            <w:pPr>
              <w:snapToGrid w:val="0"/>
              <w:spacing w:after="120"/>
              <w:rPr>
                <w:color w:val="000000"/>
                <w:lang w:val="cs-CZ"/>
              </w:rPr>
            </w:pPr>
          </w:p>
        </w:tc>
        <w:tc>
          <w:tcPr>
            <w:tcW w:w="708"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4B1E7A3A" w14:textId="77777777" w:rsidR="00040F6D" w:rsidRPr="00A808A0" w:rsidRDefault="00040F6D" w:rsidP="009E6013">
            <w:pPr>
              <w:snapToGrid w:val="0"/>
              <w:spacing w:after="120"/>
              <w:rPr>
                <w:b/>
                <w:bCs/>
                <w:color w:val="000000"/>
                <w:lang w:val="cs-CZ"/>
              </w:rPr>
            </w:pPr>
          </w:p>
        </w:tc>
        <w:tc>
          <w:tcPr>
            <w:tcW w:w="1979" w:type="dxa"/>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6B43EE24" w14:textId="77777777" w:rsidR="00040F6D" w:rsidRPr="00A808A0" w:rsidRDefault="00040F6D" w:rsidP="009E6013">
            <w:pPr>
              <w:snapToGrid w:val="0"/>
              <w:spacing w:after="120"/>
              <w:rPr>
                <w:b/>
                <w:bCs/>
                <w:color w:val="000000"/>
                <w:lang w:val="cs-CZ"/>
              </w:rPr>
            </w:pPr>
          </w:p>
        </w:tc>
      </w:tr>
      <w:tr w:rsidR="00040F6D" w:rsidRPr="00A808A0" w14:paraId="4D428FD5" w14:textId="77777777" w:rsidTr="005736EA">
        <w:trPr>
          <w:trHeight w:val="284"/>
        </w:trPr>
        <w:tc>
          <w:tcPr>
            <w:tcW w:w="46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A4F27AC" w14:textId="43228D2D" w:rsidR="00040F6D" w:rsidRPr="00A808A0" w:rsidRDefault="00040F6D" w:rsidP="009E6013">
            <w:pPr>
              <w:snapToGrid w:val="0"/>
              <w:rPr>
                <w:lang w:val="cs-CZ"/>
              </w:rPr>
            </w:pPr>
            <w:r w:rsidRPr="00A808A0">
              <w:rPr>
                <w:lang w:val="cs-CZ"/>
              </w:rPr>
              <w:t>Počet osob</w:t>
            </w:r>
            <w:r w:rsidR="00C07F0E" w:rsidRPr="00A808A0">
              <w:rPr>
                <w:lang w:val="cs-CZ"/>
              </w:rPr>
              <w:t xml:space="preserve"> </w:t>
            </w:r>
            <w:r w:rsidRPr="00A808A0">
              <w:rPr>
                <w:lang w:val="cs-CZ"/>
              </w:rPr>
              <w:t xml:space="preserve">ve strukturách k 31. 12. </w:t>
            </w:r>
            <w:r w:rsidR="00BC46D0" w:rsidRPr="00A808A0">
              <w:rPr>
                <w:lang w:val="cs-CZ"/>
              </w:rPr>
              <w:t>2020</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14:paraId="69B1A2C9" w14:textId="63B45A2A" w:rsidR="00040F6D" w:rsidRPr="00A808A0" w:rsidRDefault="00BC46D0" w:rsidP="009E6013">
            <w:pPr>
              <w:snapToGrid w:val="0"/>
              <w:jc w:val="center"/>
              <w:rPr>
                <w:lang w:val="cs-CZ"/>
              </w:rPr>
            </w:pPr>
            <w:r w:rsidRPr="00A808A0">
              <w:rPr>
                <w:lang w:val="cs-CZ"/>
              </w:rPr>
              <w:t>216</w:t>
            </w:r>
          </w:p>
        </w:tc>
        <w:tc>
          <w:tcPr>
            <w:tcW w:w="848" w:type="dxa"/>
            <w:tcBorders>
              <w:top w:val="nil"/>
              <w:left w:val="nil"/>
              <w:bottom w:val="single" w:sz="4" w:space="0" w:color="auto"/>
              <w:right w:val="single" w:sz="4" w:space="0" w:color="auto"/>
            </w:tcBorders>
            <w:tcMar>
              <w:top w:w="15" w:type="dxa"/>
              <w:left w:w="15" w:type="dxa"/>
              <w:bottom w:w="0" w:type="dxa"/>
              <w:right w:w="15" w:type="dxa"/>
            </w:tcMar>
            <w:vAlign w:val="center"/>
          </w:tcPr>
          <w:p w14:paraId="5EBEE6CA" w14:textId="29453C92" w:rsidR="00040F6D" w:rsidRPr="00A808A0" w:rsidRDefault="00BC46D0" w:rsidP="009E6013">
            <w:pPr>
              <w:snapToGrid w:val="0"/>
              <w:jc w:val="center"/>
              <w:rPr>
                <w:lang w:val="cs-CZ"/>
              </w:rPr>
            </w:pPr>
            <w:r w:rsidRPr="00A808A0">
              <w:rPr>
                <w:lang w:val="cs-CZ"/>
              </w:rPr>
              <w:t>185</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14:paraId="5CA8B131" w14:textId="66C6609C" w:rsidR="00040F6D" w:rsidRPr="00A808A0" w:rsidRDefault="00BC46D0" w:rsidP="009E6013">
            <w:pPr>
              <w:snapToGrid w:val="0"/>
              <w:jc w:val="center"/>
              <w:rPr>
                <w:bCs/>
                <w:lang w:val="cs-CZ"/>
              </w:rPr>
            </w:pPr>
            <w:r w:rsidRPr="00A808A0">
              <w:rPr>
                <w:bCs/>
                <w:lang w:val="cs-CZ"/>
              </w:rPr>
              <w:t>26</w:t>
            </w:r>
          </w:p>
        </w:tc>
        <w:tc>
          <w:tcPr>
            <w:tcW w:w="1979" w:type="dxa"/>
            <w:tcBorders>
              <w:top w:val="nil"/>
              <w:left w:val="nil"/>
              <w:bottom w:val="single" w:sz="4" w:space="0" w:color="auto"/>
              <w:right w:val="single" w:sz="4" w:space="0" w:color="auto"/>
            </w:tcBorders>
            <w:tcMar>
              <w:top w:w="15" w:type="dxa"/>
              <w:left w:w="15" w:type="dxa"/>
              <w:bottom w:w="0" w:type="dxa"/>
              <w:right w:w="15" w:type="dxa"/>
            </w:tcMar>
            <w:vAlign w:val="center"/>
          </w:tcPr>
          <w:p w14:paraId="4EA28E86" w14:textId="6425EBC0" w:rsidR="00040F6D" w:rsidRPr="00A808A0" w:rsidRDefault="00BC46D0" w:rsidP="009E6013">
            <w:pPr>
              <w:snapToGrid w:val="0"/>
              <w:ind w:right="57"/>
              <w:jc w:val="center"/>
              <w:rPr>
                <w:bCs/>
                <w:lang w:val="cs-CZ"/>
              </w:rPr>
            </w:pPr>
            <w:r w:rsidRPr="00A808A0">
              <w:rPr>
                <w:bCs/>
                <w:lang w:val="cs-CZ"/>
              </w:rPr>
              <w:t>12</w:t>
            </w:r>
            <w:r w:rsidR="00040F6D" w:rsidRPr="00A808A0">
              <w:rPr>
                <w:bCs/>
                <w:lang w:val="cs-CZ"/>
              </w:rPr>
              <w:t xml:space="preserve"> %</w:t>
            </w:r>
          </w:p>
        </w:tc>
      </w:tr>
      <w:tr w:rsidR="00040F6D" w:rsidRPr="00A808A0" w14:paraId="3154608F" w14:textId="77777777" w:rsidTr="005736EA">
        <w:trPr>
          <w:trHeight w:val="284"/>
        </w:trPr>
        <w:tc>
          <w:tcPr>
            <w:tcW w:w="46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94C077" w14:textId="6D302ECA" w:rsidR="00040F6D" w:rsidRPr="00A808A0" w:rsidRDefault="00040F6D" w:rsidP="009E6013">
            <w:pPr>
              <w:snapToGrid w:val="0"/>
              <w:rPr>
                <w:lang w:val="cs-CZ"/>
              </w:rPr>
            </w:pPr>
            <w:r w:rsidRPr="00A808A0">
              <w:rPr>
                <w:lang w:val="cs-CZ"/>
              </w:rPr>
              <w:t xml:space="preserve">Počet vyslaných osob do struktur v roce </w:t>
            </w:r>
            <w:r w:rsidR="00BC46D0" w:rsidRPr="00A808A0">
              <w:rPr>
                <w:lang w:val="cs-CZ"/>
              </w:rPr>
              <w:t>2020</w:t>
            </w:r>
          </w:p>
        </w:tc>
        <w:tc>
          <w:tcPr>
            <w:tcW w:w="878" w:type="dxa"/>
            <w:tcBorders>
              <w:top w:val="nil"/>
              <w:left w:val="nil"/>
              <w:bottom w:val="single" w:sz="4" w:space="0" w:color="auto"/>
              <w:right w:val="single" w:sz="4" w:space="0" w:color="auto"/>
            </w:tcBorders>
            <w:tcMar>
              <w:top w:w="15" w:type="dxa"/>
              <w:left w:w="15" w:type="dxa"/>
              <w:bottom w:w="0" w:type="dxa"/>
              <w:right w:w="15" w:type="dxa"/>
            </w:tcMar>
            <w:vAlign w:val="center"/>
          </w:tcPr>
          <w:p w14:paraId="1EA83FCB" w14:textId="1A5C1C4A" w:rsidR="00040F6D" w:rsidRPr="00A808A0" w:rsidRDefault="00BC46D0" w:rsidP="009E6013">
            <w:pPr>
              <w:snapToGrid w:val="0"/>
              <w:jc w:val="center"/>
              <w:rPr>
                <w:lang w:val="cs-CZ"/>
              </w:rPr>
            </w:pPr>
            <w:r w:rsidRPr="00A808A0">
              <w:rPr>
                <w:lang w:val="cs-CZ"/>
              </w:rPr>
              <w:t>86</w:t>
            </w:r>
          </w:p>
        </w:tc>
        <w:tc>
          <w:tcPr>
            <w:tcW w:w="848" w:type="dxa"/>
            <w:tcBorders>
              <w:top w:val="nil"/>
              <w:left w:val="nil"/>
              <w:bottom w:val="single" w:sz="4" w:space="0" w:color="auto"/>
              <w:right w:val="single" w:sz="4" w:space="0" w:color="auto"/>
            </w:tcBorders>
            <w:tcMar>
              <w:top w:w="15" w:type="dxa"/>
              <w:left w:w="15" w:type="dxa"/>
              <w:bottom w:w="0" w:type="dxa"/>
              <w:right w:w="15" w:type="dxa"/>
            </w:tcMar>
            <w:vAlign w:val="center"/>
          </w:tcPr>
          <w:p w14:paraId="37A408D1" w14:textId="7C374166" w:rsidR="00040F6D" w:rsidRPr="00A808A0" w:rsidRDefault="00BC46D0" w:rsidP="009E6013">
            <w:pPr>
              <w:snapToGrid w:val="0"/>
              <w:jc w:val="center"/>
              <w:rPr>
                <w:lang w:val="cs-CZ"/>
              </w:rPr>
            </w:pPr>
            <w:r w:rsidRPr="00A808A0">
              <w:rPr>
                <w:lang w:val="cs-CZ"/>
              </w:rPr>
              <w:t>74</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14:paraId="2AF30B00" w14:textId="6298E8EC" w:rsidR="00040F6D" w:rsidRPr="00A808A0" w:rsidRDefault="00BC46D0" w:rsidP="009E6013">
            <w:pPr>
              <w:snapToGrid w:val="0"/>
              <w:jc w:val="center"/>
              <w:rPr>
                <w:bCs/>
                <w:lang w:val="cs-CZ"/>
              </w:rPr>
            </w:pPr>
            <w:r w:rsidRPr="00A808A0">
              <w:rPr>
                <w:bCs/>
                <w:lang w:val="cs-CZ"/>
              </w:rPr>
              <w:t>12</w:t>
            </w:r>
          </w:p>
        </w:tc>
        <w:tc>
          <w:tcPr>
            <w:tcW w:w="1979" w:type="dxa"/>
            <w:tcBorders>
              <w:top w:val="nil"/>
              <w:left w:val="nil"/>
              <w:bottom w:val="single" w:sz="4" w:space="0" w:color="auto"/>
              <w:right w:val="single" w:sz="4" w:space="0" w:color="auto"/>
            </w:tcBorders>
            <w:tcMar>
              <w:top w:w="15" w:type="dxa"/>
              <w:left w:w="15" w:type="dxa"/>
              <w:bottom w:w="0" w:type="dxa"/>
              <w:right w:w="15" w:type="dxa"/>
            </w:tcMar>
            <w:vAlign w:val="center"/>
          </w:tcPr>
          <w:p w14:paraId="48F9C702" w14:textId="3902B5FA" w:rsidR="00040F6D" w:rsidRPr="00A808A0" w:rsidRDefault="00BC46D0" w:rsidP="009E6013">
            <w:pPr>
              <w:snapToGrid w:val="0"/>
              <w:ind w:right="57"/>
              <w:jc w:val="center"/>
              <w:rPr>
                <w:bCs/>
                <w:lang w:val="cs-CZ"/>
              </w:rPr>
            </w:pPr>
            <w:r w:rsidRPr="00A808A0">
              <w:rPr>
                <w:bCs/>
                <w:lang w:val="cs-CZ"/>
              </w:rPr>
              <w:t>14</w:t>
            </w:r>
            <w:r w:rsidR="00040F6D" w:rsidRPr="00A808A0">
              <w:rPr>
                <w:bCs/>
                <w:lang w:val="cs-CZ"/>
              </w:rPr>
              <w:t xml:space="preserve"> %</w:t>
            </w:r>
          </w:p>
        </w:tc>
      </w:tr>
    </w:tbl>
    <w:p w14:paraId="30B8DF8B" w14:textId="77777777" w:rsidR="00040F6D" w:rsidRPr="00A808A0" w:rsidRDefault="00040F6D" w:rsidP="009E6013">
      <w:pPr>
        <w:snapToGrid w:val="0"/>
        <w:spacing w:after="120"/>
        <w:rPr>
          <w:i/>
          <w:lang w:val="cs-CZ"/>
        </w:rPr>
      </w:pPr>
    </w:p>
    <w:p w14:paraId="31B913A4" w14:textId="77777777" w:rsidR="009E6013" w:rsidRDefault="009E6013" w:rsidP="009E6013">
      <w:pPr>
        <w:snapToGrid w:val="0"/>
        <w:spacing w:after="120"/>
        <w:rPr>
          <w:i/>
          <w:lang w:val="cs-CZ"/>
        </w:rPr>
      </w:pPr>
    </w:p>
    <w:p w14:paraId="3F649D68" w14:textId="4EEE9438" w:rsidR="00040F6D" w:rsidRPr="00A808A0" w:rsidRDefault="00040F6D" w:rsidP="009E6013">
      <w:pPr>
        <w:snapToGrid w:val="0"/>
        <w:spacing w:after="120"/>
        <w:rPr>
          <w:b/>
          <w:i/>
          <w:lang w:val="cs-CZ"/>
        </w:rPr>
      </w:pPr>
      <w:r w:rsidRPr="00A808A0">
        <w:rPr>
          <w:b/>
          <w:i/>
          <w:lang w:val="cs-CZ"/>
        </w:rPr>
        <w:t xml:space="preserve">Graf </w:t>
      </w:r>
      <w:r w:rsidR="00A9760E" w:rsidRPr="00A808A0">
        <w:rPr>
          <w:b/>
          <w:i/>
          <w:lang w:val="cs-CZ"/>
        </w:rPr>
        <w:t xml:space="preserve">č. </w:t>
      </w:r>
      <w:r w:rsidRPr="00A808A0">
        <w:rPr>
          <w:b/>
          <w:i/>
          <w:lang w:val="cs-CZ"/>
        </w:rPr>
        <w:t xml:space="preserve">2: </w:t>
      </w:r>
      <w:r w:rsidR="00A9760E" w:rsidRPr="00A808A0">
        <w:rPr>
          <w:b/>
          <w:i/>
          <w:lang w:val="cs-CZ"/>
        </w:rPr>
        <w:t>Vývoj p</w:t>
      </w:r>
      <w:r w:rsidRPr="00A808A0">
        <w:rPr>
          <w:b/>
          <w:i/>
          <w:lang w:val="cs-CZ"/>
        </w:rPr>
        <w:t>odíl</w:t>
      </w:r>
      <w:r w:rsidR="00A9760E" w:rsidRPr="00A808A0">
        <w:rPr>
          <w:b/>
          <w:i/>
          <w:lang w:val="cs-CZ"/>
        </w:rPr>
        <w:t>u</w:t>
      </w:r>
      <w:r w:rsidRPr="00A808A0">
        <w:rPr>
          <w:b/>
          <w:i/>
          <w:lang w:val="cs-CZ"/>
        </w:rPr>
        <w:t xml:space="preserve"> žen na celkovém počtu osob na zahraničních pracovištích (k 31. 12. daného roku)</w:t>
      </w:r>
    </w:p>
    <w:p w14:paraId="11F76451" w14:textId="77777777" w:rsidR="00040F6D" w:rsidRPr="00A808A0" w:rsidRDefault="00040F6D" w:rsidP="009E6013">
      <w:pPr>
        <w:snapToGrid w:val="0"/>
        <w:rPr>
          <w:i/>
          <w:lang w:val="cs-CZ"/>
        </w:rPr>
      </w:pPr>
    </w:p>
    <w:p w14:paraId="5AD0407B" w14:textId="78D2E399" w:rsidR="00040F6D" w:rsidRPr="00A808A0" w:rsidRDefault="00BC46D0" w:rsidP="009E6013">
      <w:pPr>
        <w:snapToGrid w:val="0"/>
        <w:spacing w:after="120"/>
        <w:rPr>
          <w:color w:val="000000"/>
          <w:lang w:val="cs-CZ"/>
        </w:rPr>
      </w:pPr>
      <w:r w:rsidRPr="00A808A0">
        <w:rPr>
          <w:noProof/>
          <w:lang w:val="cs-CZ" w:eastAsia="cs-CZ"/>
        </w:rPr>
        <w:drawing>
          <wp:inline distT="0" distB="0" distL="0" distR="0" wp14:anchorId="4D726203" wp14:editId="3826E9A1">
            <wp:extent cx="4572000" cy="27432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01A9E3" w14:textId="77777777" w:rsidR="00AD0F9E" w:rsidRPr="00A808A0" w:rsidRDefault="00AD0F9E" w:rsidP="009E6013">
      <w:pPr>
        <w:snapToGrid w:val="0"/>
        <w:spacing w:after="120"/>
        <w:rPr>
          <w:i/>
          <w:color w:val="000000"/>
          <w:lang w:val="cs-CZ"/>
        </w:rPr>
      </w:pPr>
    </w:p>
    <w:p w14:paraId="5A0BCB84" w14:textId="77777777" w:rsidR="009E6013" w:rsidRDefault="009E6013" w:rsidP="009E6013">
      <w:pPr>
        <w:snapToGrid w:val="0"/>
        <w:spacing w:after="120"/>
        <w:rPr>
          <w:b/>
          <w:i/>
          <w:color w:val="000000"/>
          <w:lang w:val="cs-CZ"/>
        </w:rPr>
      </w:pPr>
    </w:p>
    <w:p w14:paraId="6782E7C1" w14:textId="758DC001" w:rsidR="00040F6D" w:rsidRPr="00A808A0" w:rsidRDefault="00040F6D" w:rsidP="009E6013">
      <w:pPr>
        <w:snapToGrid w:val="0"/>
        <w:spacing w:after="120"/>
        <w:rPr>
          <w:b/>
          <w:bCs/>
          <w:i/>
          <w:color w:val="000000"/>
          <w:lang w:val="cs-CZ"/>
        </w:rPr>
      </w:pPr>
      <w:r w:rsidRPr="00A808A0">
        <w:rPr>
          <w:b/>
          <w:i/>
          <w:color w:val="000000"/>
          <w:lang w:val="cs-CZ"/>
        </w:rPr>
        <w:t xml:space="preserve">Graf </w:t>
      </w:r>
      <w:r w:rsidR="00A9760E" w:rsidRPr="00A808A0">
        <w:rPr>
          <w:b/>
          <w:i/>
          <w:color w:val="000000"/>
          <w:lang w:val="cs-CZ"/>
        </w:rPr>
        <w:t xml:space="preserve">č. </w:t>
      </w:r>
      <w:r w:rsidRPr="00A808A0">
        <w:rPr>
          <w:b/>
          <w:i/>
          <w:color w:val="000000"/>
          <w:lang w:val="cs-CZ"/>
        </w:rPr>
        <w:t xml:space="preserve">3: </w:t>
      </w:r>
      <w:r w:rsidR="00157BEB" w:rsidRPr="00A808A0">
        <w:rPr>
          <w:b/>
          <w:i/>
          <w:color w:val="000000"/>
          <w:lang w:val="cs-CZ"/>
        </w:rPr>
        <w:t>Vývoj p</w:t>
      </w:r>
      <w:r w:rsidRPr="00A808A0">
        <w:rPr>
          <w:b/>
          <w:bCs/>
          <w:i/>
          <w:color w:val="000000"/>
          <w:lang w:val="cs-CZ"/>
        </w:rPr>
        <w:t>odíl žen vyslaných na zahraniční pracoviště (NATO, EU, k 31. 12. daného roku)</w:t>
      </w:r>
    </w:p>
    <w:p w14:paraId="03DF1CB6" w14:textId="19357260" w:rsidR="00155666" w:rsidRPr="00A808A0" w:rsidRDefault="0041754B" w:rsidP="009E6013">
      <w:pPr>
        <w:snapToGrid w:val="0"/>
        <w:spacing w:after="120"/>
        <w:rPr>
          <w:bCs/>
          <w:color w:val="000000"/>
          <w:lang w:val="cs-CZ"/>
        </w:rPr>
      </w:pPr>
      <w:r w:rsidRPr="00A808A0">
        <w:rPr>
          <w:noProof/>
          <w:lang w:val="cs-CZ" w:eastAsia="cs-CZ"/>
        </w:rPr>
        <w:drawing>
          <wp:inline distT="0" distB="0" distL="0" distR="0" wp14:anchorId="3271952F" wp14:editId="4A74EA6A">
            <wp:extent cx="4208780" cy="1702676"/>
            <wp:effectExtent l="0" t="0" r="1270" b="1206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8920B5" w14:textId="77777777" w:rsidR="00F529B6" w:rsidRPr="00A808A0" w:rsidRDefault="00F529B6" w:rsidP="009E6013">
      <w:pPr>
        <w:snapToGrid w:val="0"/>
        <w:spacing w:after="120"/>
        <w:rPr>
          <w:bCs/>
          <w:i/>
          <w:color w:val="000000"/>
          <w:lang w:val="cs-CZ"/>
        </w:rPr>
      </w:pPr>
    </w:p>
    <w:p w14:paraId="409E04DE" w14:textId="249AB6D0" w:rsidR="00040F6D" w:rsidRPr="00A808A0" w:rsidRDefault="0041754B" w:rsidP="009E6013">
      <w:pPr>
        <w:snapToGrid w:val="0"/>
        <w:spacing w:after="120"/>
        <w:jc w:val="both"/>
        <w:rPr>
          <w:lang w:val="cs-CZ"/>
        </w:rPr>
      </w:pPr>
      <w:r w:rsidRPr="00A808A0">
        <w:rPr>
          <w:lang w:val="cs-CZ"/>
        </w:rPr>
        <w:t xml:space="preserve">Platí, že k výběru personálu do struktur využívají gestoři příslušných </w:t>
      </w:r>
      <w:r w:rsidR="00284463" w:rsidRPr="00A808A0">
        <w:rPr>
          <w:lang w:val="cs-CZ"/>
        </w:rPr>
        <w:t>systemizovaných</w:t>
      </w:r>
      <w:r w:rsidRPr="00A808A0">
        <w:rPr>
          <w:lang w:val="cs-CZ"/>
        </w:rPr>
        <w:t xml:space="preserve"> míst vhodných kandidátů/kandidátek výstup z integrovaného služebního systému o službě a personálu (ISSP). </w:t>
      </w:r>
      <w:r w:rsidR="00040F6D" w:rsidRPr="00A808A0">
        <w:rPr>
          <w:b/>
          <w:lang w:val="cs-CZ"/>
        </w:rPr>
        <w:t>Významným faktorem, který ovlivňuje reálný počet žen, ale i mužů vysílaných na zahraniční pracoviště, je příslušná hodnost a odbornost</w:t>
      </w:r>
      <w:r w:rsidR="00040F6D" w:rsidRPr="00A808A0">
        <w:rPr>
          <w:lang w:val="cs-CZ"/>
        </w:rPr>
        <w:t xml:space="preserve">, dále pak stupeň dosažených jazykových znalostí dle normy STANAG 6001 a osvědčení fyzické osoby (minimální požadavek ve strukturách NATO a EU je osvědčení na stupeň „Tajné“). </w:t>
      </w:r>
    </w:p>
    <w:p w14:paraId="630D0394" w14:textId="1F6F9C1A" w:rsidR="00187667" w:rsidRPr="00A808A0" w:rsidRDefault="00187667" w:rsidP="009E6013">
      <w:pPr>
        <w:jc w:val="both"/>
        <w:rPr>
          <w:color w:val="000000"/>
        </w:rPr>
      </w:pPr>
    </w:p>
    <w:p w14:paraId="17C4588E" w14:textId="5F00F75B" w:rsidR="00187667" w:rsidRPr="00A808A0" w:rsidRDefault="00187667" w:rsidP="009E6013">
      <w:pPr>
        <w:pStyle w:val="Odstavecseseznamem"/>
        <w:numPr>
          <w:ilvl w:val="0"/>
          <w:numId w:val="24"/>
        </w:numPr>
        <w:jc w:val="both"/>
        <w:rPr>
          <w:b/>
          <w:color w:val="000000"/>
          <w:u w:val="single"/>
        </w:rPr>
      </w:pPr>
      <w:r w:rsidRPr="00A808A0">
        <w:rPr>
          <w:b/>
          <w:color w:val="000000"/>
          <w:u w:val="single"/>
        </w:rPr>
        <w:t>Gesce MV</w:t>
      </w:r>
    </w:p>
    <w:p w14:paraId="431E489B" w14:textId="77777777" w:rsidR="00187667" w:rsidRPr="00A808A0" w:rsidRDefault="00187667" w:rsidP="009E6013">
      <w:pPr>
        <w:pStyle w:val="Odstavecseseznamem"/>
        <w:ind w:left="1080"/>
        <w:jc w:val="both"/>
        <w:rPr>
          <w:color w:val="000000"/>
        </w:rPr>
      </w:pPr>
    </w:p>
    <w:p w14:paraId="4BDDC7CF" w14:textId="57FEBFB2" w:rsidR="001A05B3" w:rsidRPr="00284463" w:rsidRDefault="001A05B3" w:rsidP="009E6013">
      <w:pPr>
        <w:jc w:val="both"/>
        <w:rPr>
          <w:color w:val="000000"/>
          <w:lang w:val="cs-CZ"/>
        </w:rPr>
      </w:pPr>
      <w:r w:rsidRPr="00284463">
        <w:rPr>
          <w:color w:val="000000"/>
          <w:lang w:val="cs-CZ"/>
        </w:rPr>
        <w:t xml:space="preserve">V případě MV jsou prakticky od počátku roku 2020 plány v oblasti vysílání národních expertů a expertek dle Rozhodnutí Rady EU 1523, čl. č. 7, a v souladu s operačními plány Evropského podpůrného azylového úřadu (dále jen „EASO“) do úřadu </w:t>
      </w:r>
      <w:r w:rsidRPr="00284463">
        <w:rPr>
          <w:b/>
          <w:color w:val="000000"/>
          <w:lang w:val="cs-CZ"/>
        </w:rPr>
        <w:t>EASO</w:t>
      </w:r>
      <w:r w:rsidRPr="00284463">
        <w:rPr>
          <w:color w:val="000000"/>
          <w:lang w:val="cs-CZ"/>
        </w:rPr>
        <w:t xml:space="preserve"> silně ovlivněny rychle se rozvíjející globální pandemií Covid-19 a dlouhodobě špatnou epidemiologickou situací, doprovázenou restriktivními opatřeními v oblasti cestování zaměstnanců a zaměstnankyň MV do zahraničí. </w:t>
      </w:r>
    </w:p>
    <w:p w14:paraId="16473308" w14:textId="77777777" w:rsidR="001A05B3" w:rsidRPr="00284463" w:rsidRDefault="001A05B3" w:rsidP="009E6013">
      <w:pPr>
        <w:jc w:val="both"/>
        <w:rPr>
          <w:color w:val="000000"/>
          <w:lang w:val="cs-CZ"/>
        </w:rPr>
      </w:pPr>
    </w:p>
    <w:p w14:paraId="447D83C9" w14:textId="77777777" w:rsidR="001A05B3" w:rsidRPr="00284463" w:rsidRDefault="001A05B3" w:rsidP="009E6013">
      <w:pPr>
        <w:jc w:val="both"/>
        <w:rPr>
          <w:color w:val="000000"/>
          <w:lang w:val="cs-CZ"/>
        </w:rPr>
      </w:pPr>
      <w:r w:rsidRPr="00284463">
        <w:rPr>
          <w:color w:val="000000"/>
          <w:lang w:val="cs-CZ"/>
        </w:rPr>
        <w:t xml:space="preserve">Vzhledem k výše uvedeným okolnostem, majícím povahu zásahu vyšší moci a představujícím zásadní rizika v oblasti zdravotní bezpečnosti zaměstnanců a zaměstnankyň MV, nebylo možné z řad zaměstnanců a zaměstnankyň MV v roce 2020 vyslat žádného národního experta ani expertku na podporu plnění akčních plánů úřadu EASO. Samotný úřad EASO, v souvislosti se změnami v oblasti povahy asistence poskytované Itálii a Řecku, již od roku 2019 postupně redukoval potřebu angažmá národních expertů a expertek z řad členských států EU. Tyto změny se promítly i do redukce počtu vyslaných národních expertů a expertek z řad zaměstnanců a zaměstnankyň MV již v roce 2019, kdy bylo z tohoto důvodu realizováno již pouze 6 vyslání (5 žen a jeden muž). </w:t>
      </w:r>
    </w:p>
    <w:p w14:paraId="1E35939B" w14:textId="77777777" w:rsidR="001A05B3" w:rsidRPr="00284463" w:rsidRDefault="001A05B3" w:rsidP="009E6013">
      <w:pPr>
        <w:jc w:val="both"/>
        <w:rPr>
          <w:color w:val="000000"/>
          <w:lang w:val="cs-CZ"/>
        </w:rPr>
      </w:pPr>
    </w:p>
    <w:p w14:paraId="4CD89509" w14:textId="7941BF5C" w:rsidR="001A05B3" w:rsidRPr="00284463" w:rsidRDefault="001A05B3" w:rsidP="009E6013">
      <w:pPr>
        <w:jc w:val="both"/>
        <w:rPr>
          <w:color w:val="000000"/>
          <w:lang w:val="cs-CZ"/>
        </w:rPr>
      </w:pPr>
      <w:r w:rsidRPr="00284463">
        <w:rPr>
          <w:color w:val="000000"/>
          <w:lang w:val="cs-CZ"/>
        </w:rPr>
        <w:t>Obecně platí, že při realizaci spolupráce s úřadem EASO je ze strany MV kladen při nominacích dlouhodobě důraz na rovnoměrné zastoupení mužů a žen. Konkrétními rovinami spolupráce, kde lze uplatňovat genderová hlediska, je samotný management spolupráce s úřadem EASO. Další rovinou spolupráce je vysílání pracovníků a pracovnic MV na odborná školení a zvyšování kvalifikace těchto pracovníků a pracovnic, které je podporováno úřadem EASO. Hledisko genderové vyváženosti je dle možností rovněž uplatňováno v oblasti vlastního vysílání národních expertů a expertek, kteří pomáhají úřadu EASO naplňovat operační plány v zemích, které jsou postižené migrační krizí, resp. jejími důsledky. Možnosti MV při ovlivnění genderové struktury vysílaných expertů a expertek jsou však limitované, neboť v konečném důsledku rozhoduje o angažování navrženého národního experta či expertky ze strany MV sám úřad EASO. Různorodé oblasti spolupráce MV s úřadem EASO aktuálně zastřešuje 20 funkčních komunikačních sítí, jejichž vedení, resp. odpovědné kontaktní osoby, mají vyvážený genderový profil. Celkem je ve vedení těchto sítí angažováno 6 žen a 5 mužů. Neméně důležitou je také spolupráce se sítí GDISC</w:t>
      </w:r>
      <w:r w:rsidR="00FB5D9A" w:rsidRPr="00284463">
        <w:rPr>
          <w:color w:val="000000"/>
          <w:lang w:val="cs-CZ"/>
        </w:rPr>
        <w:t xml:space="preserve"> (General Directors of Immigration Services Conference),</w:t>
      </w:r>
      <w:r w:rsidRPr="00284463">
        <w:rPr>
          <w:color w:val="000000"/>
          <w:lang w:val="cs-CZ"/>
        </w:rPr>
        <w:t xml:space="preserve"> kde je MV aktivní v rámci řídícího výboru a expertně pokrývá dalších 5 funkčních pracovních sítí, zaměřených na dílčí migrační agendy. V rámci této spolupráce je genderový profil řídících zástupců a zástupkyň MV zcela vyvážený. Ve vedení těchto sítí jsou angažovány 4 ženy a 4 muži.   </w:t>
      </w:r>
    </w:p>
    <w:p w14:paraId="4DB356AB" w14:textId="77777777" w:rsidR="001A05B3" w:rsidRPr="00284463" w:rsidRDefault="001A05B3" w:rsidP="009E6013">
      <w:pPr>
        <w:jc w:val="both"/>
        <w:rPr>
          <w:color w:val="000000"/>
          <w:lang w:val="cs-CZ"/>
        </w:rPr>
      </w:pPr>
    </w:p>
    <w:p w14:paraId="2BDA55C2" w14:textId="77777777" w:rsidR="001A05B3" w:rsidRPr="00284463" w:rsidRDefault="001A05B3" w:rsidP="009E6013">
      <w:pPr>
        <w:jc w:val="both"/>
        <w:rPr>
          <w:color w:val="000000"/>
          <w:lang w:val="cs-CZ"/>
        </w:rPr>
      </w:pPr>
      <w:r w:rsidRPr="00284463">
        <w:rPr>
          <w:color w:val="000000"/>
          <w:lang w:val="cs-CZ"/>
        </w:rPr>
        <w:t xml:space="preserve">V následujícím roce 2021 bude MV v kontextu komplexní agendy spolupráce s úřadem EASO a neformální sítí GDISC i nadále uplatňovat vyvážený genderový profil v oblasti řízení této spolupráce, stejně jako v oblasti školení a vzdělávání pracovníků a pracovnic MV. </w:t>
      </w:r>
      <w:r w:rsidRPr="00284463">
        <w:rPr>
          <w:color w:val="000000"/>
          <w:lang w:val="cs-CZ"/>
        </w:rPr>
        <w:lastRenderedPageBreak/>
        <w:t>Rovněž v oblasti vysílání českých expertů a expertek k plnění operačních plánů úřadu EASO bude MV i nadále dbát na vyvážený genderový profil nominovaných expertů a expertek.</w:t>
      </w:r>
    </w:p>
    <w:p w14:paraId="4D35BFCE" w14:textId="77777777" w:rsidR="001A05B3" w:rsidRPr="00284463" w:rsidRDefault="001A05B3" w:rsidP="009E6013">
      <w:pPr>
        <w:jc w:val="both"/>
        <w:rPr>
          <w:b/>
          <w:color w:val="000000"/>
          <w:lang w:val="cs-CZ"/>
        </w:rPr>
      </w:pPr>
    </w:p>
    <w:p w14:paraId="7218C4FF" w14:textId="4F79A7A5" w:rsidR="001A05B3" w:rsidRPr="00284463" w:rsidRDefault="001A05B3" w:rsidP="009E6013">
      <w:pPr>
        <w:jc w:val="both"/>
        <w:rPr>
          <w:color w:val="000000"/>
          <w:lang w:val="cs-CZ"/>
        </w:rPr>
      </w:pPr>
      <w:r w:rsidRPr="00284463">
        <w:rPr>
          <w:b/>
          <w:color w:val="000000"/>
          <w:lang w:val="cs-CZ"/>
        </w:rPr>
        <w:t>Policie ČR</w:t>
      </w:r>
      <w:r w:rsidRPr="00284463">
        <w:rPr>
          <w:color w:val="000000"/>
          <w:lang w:val="cs-CZ"/>
        </w:rPr>
        <w:t xml:space="preserve"> oslovuje v rámci nabídky k účasti v zahraničních misích (při splnění stanovených požadavků) všechny policisty a policistky bez rozdílu. </w:t>
      </w:r>
      <w:r w:rsidR="00FB5D9A" w:rsidRPr="00284463">
        <w:rPr>
          <w:color w:val="000000"/>
          <w:lang w:val="cs-CZ"/>
        </w:rPr>
        <w:t>Co se týče</w:t>
      </w:r>
      <w:r w:rsidRPr="00284463">
        <w:rPr>
          <w:color w:val="000000"/>
          <w:lang w:val="cs-CZ"/>
        </w:rPr>
        <w:t xml:space="preserve"> zapojení žen</w:t>
      </w:r>
      <w:r w:rsidR="00FB5D9A" w:rsidRPr="00284463">
        <w:rPr>
          <w:color w:val="000000"/>
          <w:lang w:val="cs-CZ"/>
        </w:rPr>
        <w:t xml:space="preserve"> a</w:t>
      </w:r>
      <w:r w:rsidRPr="00284463">
        <w:rPr>
          <w:color w:val="000000"/>
          <w:lang w:val="cs-CZ"/>
        </w:rPr>
        <w:t xml:space="preserve"> zvyšování jejich zastoupení </w:t>
      </w:r>
      <w:r w:rsidR="00FB5D9A" w:rsidRPr="00284463">
        <w:rPr>
          <w:color w:val="000000"/>
          <w:lang w:val="cs-CZ"/>
        </w:rPr>
        <w:t>(</w:t>
      </w:r>
      <w:r w:rsidRPr="00284463">
        <w:rPr>
          <w:color w:val="000000"/>
          <w:lang w:val="cs-CZ"/>
        </w:rPr>
        <w:t>včetně rozhodovacích pozic</w:t>
      </w:r>
      <w:r w:rsidR="00FB5D9A" w:rsidRPr="00284463">
        <w:rPr>
          <w:color w:val="000000"/>
          <w:lang w:val="cs-CZ"/>
        </w:rPr>
        <w:t>)</w:t>
      </w:r>
      <w:r w:rsidRPr="00284463">
        <w:rPr>
          <w:color w:val="000000"/>
          <w:lang w:val="cs-CZ"/>
        </w:rPr>
        <w:t xml:space="preserve">, </w:t>
      </w:r>
      <w:r w:rsidR="00FB5D9A" w:rsidRPr="00284463">
        <w:rPr>
          <w:color w:val="000000"/>
          <w:lang w:val="cs-CZ"/>
        </w:rPr>
        <w:t>ve vztahu k roku 2020, jde zejména o</w:t>
      </w:r>
      <w:r w:rsidRPr="00284463">
        <w:rPr>
          <w:color w:val="000000"/>
          <w:lang w:val="cs-CZ"/>
        </w:rPr>
        <w:t>:</w:t>
      </w:r>
    </w:p>
    <w:p w14:paraId="3FFA7ACA" w14:textId="77777777" w:rsidR="00187667" w:rsidRPr="00284463" w:rsidRDefault="00187667" w:rsidP="009E6013">
      <w:pPr>
        <w:jc w:val="both"/>
        <w:rPr>
          <w:b/>
          <w:color w:val="000000"/>
          <w:lang w:val="cs-CZ"/>
        </w:rPr>
      </w:pPr>
    </w:p>
    <w:p w14:paraId="2EC9A4AF" w14:textId="0384DE47" w:rsidR="001A05B3" w:rsidRPr="00284463" w:rsidRDefault="001A05B3" w:rsidP="009E6013">
      <w:pPr>
        <w:jc w:val="both"/>
        <w:rPr>
          <w:color w:val="000000"/>
          <w:lang w:val="cs-CZ"/>
        </w:rPr>
      </w:pPr>
      <w:r w:rsidRPr="00284463">
        <w:rPr>
          <w:b/>
          <w:color w:val="000000"/>
          <w:lang w:val="cs-CZ"/>
        </w:rPr>
        <w:t>Zahraniční mírové operace:</w:t>
      </w:r>
      <w:r w:rsidRPr="00284463">
        <w:rPr>
          <w:color w:val="000000"/>
          <w:lang w:val="cs-CZ"/>
        </w:rPr>
        <w:t xml:space="preserve"> Policie ČR dlouhodobě oslovuje v rámci informační kampaně k zahraničním misím všechny policisty a policistky s akcentací vysokého zájmu o ženy. V rámci výběrových mechanismů a HR agendy jsou plně zohledňovány specifické potřeby kandidátek se zájmem o působení v zahraničních mírových operacích. Obecně lze říci, že ve sledovaném období tvořily ženy </w:t>
      </w:r>
      <w:r w:rsidRPr="00284463">
        <w:rPr>
          <w:lang w:val="cs-CZ"/>
        </w:rPr>
        <w:t>– příslušnice Policie ČR účastnící se mírových operací vždy 10% – 20% expertního týmu. V roce 2</w:t>
      </w:r>
      <w:r w:rsidRPr="00284463">
        <w:rPr>
          <w:color w:val="000000"/>
          <w:lang w:val="cs-CZ"/>
        </w:rPr>
        <w:t xml:space="preserve">020 probíhaly postupně návraty policistů a policistek z mise EUMM v Gruzii, vyslání dalších policistů a policistek v rámci specializovaného týmu do Palestiny se plánuje v roce 2021 s předpokladem dlouhodobější vyslání. </w:t>
      </w:r>
    </w:p>
    <w:p w14:paraId="08BF9F8D" w14:textId="77777777" w:rsidR="001A05B3" w:rsidRPr="00284463" w:rsidRDefault="001A05B3" w:rsidP="009E6013">
      <w:pPr>
        <w:jc w:val="both"/>
        <w:rPr>
          <w:color w:val="000000"/>
          <w:lang w:val="cs-CZ"/>
        </w:rPr>
      </w:pPr>
    </w:p>
    <w:p w14:paraId="3A588CC2" w14:textId="2AEAB5E0" w:rsidR="001A05B3" w:rsidRPr="00284463" w:rsidRDefault="001A05B3" w:rsidP="009E6013">
      <w:pPr>
        <w:autoSpaceDE w:val="0"/>
        <w:autoSpaceDN w:val="0"/>
        <w:jc w:val="both"/>
        <w:rPr>
          <w:lang w:val="cs-CZ"/>
        </w:rPr>
      </w:pPr>
      <w:r w:rsidRPr="00284463">
        <w:rPr>
          <w:lang w:val="cs-CZ"/>
        </w:rPr>
        <w:t xml:space="preserve">V celkovém počtu 295 členů národního týmu </w:t>
      </w:r>
      <w:r w:rsidRPr="00284463">
        <w:rPr>
          <w:bCs/>
          <w:lang w:val="cs-CZ"/>
        </w:rPr>
        <w:t xml:space="preserve">Evropské pohraniční a pobřežní stráže </w:t>
      </w:r>
      <w:r w:rsidRPr="00284463">
        <w:rPr>
          <w:b/>
          <w:bCs/>
          <w:lang w:val="cs-CZ"/>
        </w:rPr>
        <w:t>agentury Frontex</w:t>
      </w:r>
      <w:r w:rsidRPr="00284463">
        <w:rPr>
          <w:lang w:val="cs-CZ"/>
        </w:rPr>
        <w:t xml:space="preserve"> je zastoupeno 21 žen, které působí zejména v rámci profilů registračních úřednic, při ostraze hranic, jako expertky na vytěžování a ztotožňování, jako expertky na doklady, informační úřednice či expertky na vyhledávání kradených vozidel.</w:t>
      </w:r>
    </w:p>
    <w:p w14:paraId="46B49EF6" w14:textId="77777777" w:rsidR="001A05B3" w:rsidRPr="00284463" w:rsidRDefault="001A05B3" w:rsidP="009E6013">
      <w:pPr>
        <w:autoSpaceDE w:val="0"/>
        <w:autoSpaceDN w:val="0"/>
        <w:jc w:val="both"/>
        <w:rPr>
          <w:lang w:val="cs-CZ"/>
        </w:rPr>
      </w:pPr>
    </w:p>
    <w:p w14:paraId="721CD294" w14:textId="6A8B5589" w:rsidR="001A05B3" w:rsidRPr="00284463" w:rsidRDefault="001A05B3" w:rsidP="009E6013">
      <w:pPr>
        <w:autoSpaceDE w:val="0"/>
        <w:autoSpaceDN w:val="0"/>
        <w:jc w:val="both"/>
        <w:rPr>
          <w:lang w:val="cs-CZ"/>
        </w:rPr>
      </w:pPr>
      <w:r w:rsidRPr="00284463">
        <w:rPr>
          <w:lang w:val="cs-CZ"/>
        </w:rPr>
        <w:t xml:space="preserve">V rámci působení českých policistek ve významných organizacích nelze opomenout zejména pozici </w:t>
      </w:r>
      <w:r w:rsidRPr="00284463">
        <w:rPr>
          <w:b/>
          <w:lang w:val="cs-CZ"/>
        </w:rPr>
        <w:t>vice-prezidentky INTERPOLu pro Evropu</w:t>
      </w:r>
      <w:r w:rsidRPr="00284463">
        <w:rPr>
          <w:lang w:val="cs-CZ"/>
        </w:rPr>
        <w:t xml:space="preserve"> (jakožto největší policejní organizace na světě a mezinárodní mezivládní organizace zabezpečující policejní spolupráci v kriminálně-policejní oblasti mezi smluvními státy), kterou v roce 2020 zastávala plk. Mgr. Bc. Šárka Havránková. V tuto chvíli se jedná o jednu z nejvyšších pozic zastupovan</w:t>
      </w:r>
      <w:r w:rsidR="00FB5D9A" w:rsidRPr="00284463">
        <w:rPr>
          <w:lang w:val="cs-CZ"/>
        </w:rPr>
        <w:t>ých</w:t>
      </w:r>
      <w:r w:rsidRPr="00284463">
        <w:rPr>
          <w:lang w:val="cs-CZ"/>
        </w:rPr>
        <w:t xml:space="preserve"> ženou v rámci mezinárodní bezpečnostní organizace. </w:t>
      </w:r>
    </w:p>
    <w:p w14:paraId="482DDC90" w14:textId="77777777" w:rsidR="001A05B3" w:rsidRPr="00284463" w:rsidRDefault="001A05B3" w:rsidP="009E6013">
      <w:pPr>
        <w:autoSpaceDE w:val="0"/>
        <w:autoSpaceDN w:val="0"/>
        <w:jc w:val="both"/>
        <w:rPr>
          <w:b/>
          <w:bCs/>
          <w:lang w:val="cs-CZ"/>
        </w:rPr>
      </w:pPr>
    </w:p>
    <w:p w14:paraId="56C76B61" w14:textId="4BEC6D67" w:rsidR="001A05B3" w:rsidRPr="00284463" w:rsidRDefault="001A05B3" w:rsidP="009E6013">
      <w:pPr>
        <w:autoSpaceDE w:val="0"/>
        <w:autoSpaceDN w:val="0"/>
        <w:jc w:val="both"/>
        <w:rPr>
          <w:b/>
          <w:bCs/>
          <w:lang w:val="cs-CZ"/>
        </w:rPr>
      </w:pPr>
      <w:r w:rsidRPr="00284463">
        <w:rPr>
          <w:b/>
          <w:bCs/>
          <w:lang w:val="cs-CZ"/>
        </w:rPr>
        <w:t xml:space="preserve">Vyslaní národní experti: </w:t>
      </w:r>
      <w:r w:rsidRPr="00284463">
        <w:rPr>
          <w:lang w:val="cs-CZ"/>
        </w:rPr>
        <w:t xml:space="preserve">V roce 2020 působila v ústředí mezinárodní organizace INTERPOL v Lyonu (Francie) rovněž zástupkyně Policie ČR, a to jako zpravodajský důstojník protiteroristického oddělení. Od srpna 2020 působila další zástupkyně Policie ČR jako expertka na provádění sekundárních bezpečnostních kontrol na vnější hranici EU v rámci projektu tzv. hostujících úředníků Europolu. </w:t>
      </w:r>
    </w:p>
    <w:p w14:paraId="2B44CC5B" w14:textId="77777777" w:rsidR="001A05B3" w:rsidRPr="00284463" w:rsidRDefault="001A05B3" w:rsidP="009E6013">
      <w:pPr>
        <w:autoSpaceDE w:val="0"/>
        <w:autoSpaceDN w:val="0"/>
        <w:jc w:val="both"/>
        <w:rPr>
          <w:b/>
          <w:bCs/>
          <w:lang w:val="cs-CZ"/>
        </w:rPr>
      </w:pPr>
    </w:p>
    <w:p w14:paraId="3B6F4C91" w14:textId="1887C2B1" w:rsidR="001A05B3" w:rsidRPr="00284463" w:rsidRDefault="001A05B3" w:rsidP="009E6013">
      <w:pPr>
        <w:autoSpaceDE w:val="0"/>
        <w:autoSpaceDN w:val="0"/>
        <w:jc w:val="both"/>
        <w:rPr>
          <w:b/>
          <w:bCs/>
          <w:lang w:val="cs-CZ"/>
        </w:rPr>
      </w:pPr>
      <w:r w:rsidRPr="00284463">
        <w:rPr>
          <w:b/>
          <w:bCs/>
          <w:lang w:val="cs-CZ"/>
        </w:rPr>
        <w:t xml:space="preserve">Styční důstojníci: </w:t>
      </w:r>
      <w:r w:rsidRPr="00284463">
        <w:rPr>
          <w:lang w:val="cs-CZ"/>
        </w:rPr>
        <w:t xml:space="preserve">z celkového aktuálního počtu 16 vyslaných styčných důstojníků Policie ČR jsou vyslány </w:t>
      </w:r>
      <w:r w:rsidRPr="00284463">
        <w:rPr>
          <w:b/>
          <w:lang w:val="cs-CZ"/>
        </w:rPr>
        <w:t>3 ženy,</w:t>
      </w:r>
      <w:r w:rsidRPr="00284463">
        <w:rPr>
          <w:lang w:val="cs-CZ"/>
        </w:rPr>
        <w:t xml:space="preserve"> z nichž 2 působí při agentuře EU Europol a další v Německu.</w:t>
      </w:r>
    </w:p>
    <w:p w14:paraId="093BAEBB" w14:textId="6D3E0566" w:rsidR="00BB3293" w:rsidRPr="00A808A0" w:rsidRDefault="00BB3293" w:rsidP="009E6013">
      <w:pPr>
        <w:snapToGrid w:val="0"/>
        <w:spacing w:after="120"/>
        <w:jc w:val="both"/>
        <w:rPr>
          <w:iCs/>
          <w:lang w:val="cs-CZ"/>
        </w:rPr>
      </w:pPr>
    </w:p>
    <w:p w14:paraId="59286572" w14:textId="77777777" w:rsidR="00A30FD8" w:rsidRPr="00284463" w:rsidRDefault="00A30FD8" w:rsidP="00057D32">
      <w:pPr>
        <w:pStyle w:val="Nadpis2"/>
        <w:pBdr>
          <w:bottom w:val="single" w:sz="4" w:space="1" w:color="4F81BD"/>
        </w:pBdr>
        <w:spacing w:line="276" w:lineRule="auto"/>
        <w:rPr>
          <w:rFonts w:ascii="Times New Roman" w:hAnsi="Times New Roman"/>
          <w:i w:val="0"/>
          <w:color w:val="2F5496" w:themeColor="accent1" w:themeShade="BF"/>
          <w:lang w:val="cs-CZ"/>
        </w:rPr>
      </w:pPr>
      <w:bookmarkStart w:id="7" w:name="_Toc39673327"/>
      <w:r w:rsidRPr="00284463">
        <w:rPr>
          <w:rFonts w:ascii="Times New Roman" w:hAnsi="Times New Roman"/>
          <w:i w:val="0"/>
          <w:color w:val="2F5496" w:themeColor="accent1" w:themeShade="BF"/>
          <w:lang w:val="cs-CZ"/>
        </w:rPr>
        <w:t>Úkol č. 2</w:t>
      </w:r>
      <w:bookmarkEnd w:id="7"/>
    </w:p>
    <w:p w14:paraId="7DC8A38C" w14:textId="77777777" w:rsidR="00707E05" w:rsidRPr="00284463" w:rsidRDefault="00BB40FD" w:rsidP="009E6013">
      <w:pPr>
        <w:snapToGrid w:val="0"/>
        <w:spacing w:after="120" w:line="276" w:lineRule="auto"/>
        <w:jc w:val="both"/>
        <w:rPr>
          <w:b/>
          <w:lang w:val="cs-CZ"/>
        </w:rPr>
      </w:pPr>
      <w:r w:rsidRPr="00284463">
        <w:rPr>
          <w:b/>
          <w:lang w:val="cs-CZ"/>
        </w:rPr>
        <w:t xml:space="preserve">Obecný cíl: </w:t>
      </w:r>
      <w:r w:rsidR="00A30FD8" w:rsidRPr="00284463">
        <w:rPr>
          <w:b/>
          <w:lang w:val="cs-CZ"/>
        </w:rPr>
        <w:t>Usilovat o vyrovnané zastoupení žen a mužů na pozicích vedoucích diplomatických misí</w:t>
      </w:r>
    </w:p>
    <w:p w14:paraId="15372999" w14:textId="77777777" w:rsidR="00A30FD8" w:rsidRPr="00284463" w:rsidRDefault="00A30FD8" w:rsidP="009E6013">
      <w:pPr>
        <w:snapToGrid w:val="0"/>
        <w:spacing w:after="120" w:line="276" w:lineRule="auto"/>
        <w:jc w:val="both"/>
        <w:rPr>
          <w:lang w:val="cs-CZ"/>
        </w:rPr>
      </w:pPr>
      <w:r w:rsidRPr="00284463">
        <w:rPr>
          <w:lang w:val="cs-CZ"/>
        </w:rPr>
        <w:t>Úkol:</w:t>
      </w:r>
    </w:p>
    <w:p w14:paraId="14135BCF" w14:textId="13F9C2E8" w:rsidR="00187667" w:rsidRPr="00284463" w:rsidRDefault="00A30FD8" w:rsidP="009E6013">
      <w:pPr>
        <w:numPr>
          <w:ilvl w:val="0"/>
          <w:numId w:val="4"/>
        </w:numPr>
        <w:snapToGrid w:val="0"/>
        <w:spacing w:after="120" w:line="276" w:lineRule="auto"/>
        <w:jc w:val="both"/>
        <w:rPr>
          <w:lang w:val="cs-CZ"/>
        </w:rPr>
      </w:pPr>
      <w:r w:rsidRPr="00284463">
        <w:rPr>
          <w:lang w:val="cs-CZ"/>
        </w:rPr>
        <w:t>Vedení statistik počtu žen</w:t>
      </w:r>
      <w:r w:rsidR="00C4703E" w:rsidRPr="00284463">
        <w:rPr>
          <w:lang w:val="cs-CZ"/>
        </w:rPr>
        <w:t xml:space="preserve"> a mužů na pozicích vedoucích </w:t>
      </w:r>
      <w:r w:rsidRPr="00284463">
        <w:rPr>
          <w:lang w:val="cs-CZ"/>
        </w:rPr>
        <w:t>zástupkyň</w:t>
      </w:r>
      <w:r w:rsidR="00C4703E" w:rsidRPr="00284463">
        <w:rPr>
          <w:lang w:val="cs-CZ"/>
        </w:rPr>
        <w:t>/zástupců</w:t>
      </w:r>
      <w:r w:rsidRPr="00284463">
        <w:rPr>
          <w:lang w:val="cs-CZ"/>
        </w:rPr>
        <w:t xml:space="preserve"> diplomatických misí; jejich průběžné vyhodnocování.</w:t>
      </w:r>
    </w:p>
    <w:p w14:paraId="076C7A28" w14:textId="7733AA26" w:rsidR="001A05B3" w:rsidRPr="00284463" w:rsidRDefault="001A05B3" w:rsidP="001A05B3">
      <w:pPr>
        <w:jc w:val="both"/>
        <w:rPr>
          <w:lang w:val="cs-CZ"/>
        </w:rPr>
      </w:pPr>
      <w:r w:rsidRPr="00284463">
        <w:rPr>
          <w:lang w:val="cs-CZ"/>
        </w:rPr>
        <w:t xml:space="preserve">MZV využívá pro vedení a zpracování statistik personální a mzdový systém OKbase. Pověření zaměstnanci mohou využívat sestav, které jsou v rámci tohoto systému k dispozici. Mezi tyto sestavy patří mimo jiné anonymizované přehledy členěné dle pohlaví. Data jsou </w:t>
      </w:r>
      <w:r w:rsidRPr="00284463">
        <w:rPr>
          <w:lang w:val="cs-CZ"/>
        </w:rPr>
        <w:lastRenderedPageBreak/>
        <w:t xml:space="preserve">pravidelně zasílána v rámci vyhodnocení plnění Vládní strategie pro rovnost žen a mužů v ČR na léta 2014 -2020 odboru rovnosti žen a mužů Úřadu vlády a resp. ČSÚ. </w:t>
      </w:r>
    </w:p>
    <w:p w14:paraId="6556866A" w14:textId="77777777" w:rsidR="001A05B3" w:rsidRPr="00284463" w:rsidRDefault="001A05B3" w:rsidP="001A05B3">
      <w:pPr>
        <w:jc w:val="both"/>
        <w:rPr>
          <w:lang w:val="cs-CZ"/>
        </w:rPr>
      </w:pPr>
    </w:p>
    <w:p w14:paraId="67971756" w14:textId="6387A1C9" w:rsidR="001A05B3" w:rsidRPr="00284463" w:rsidRDefault="001A05B3" w:rsidP="001A05B3">
      <w:pPr>
        <w:jc w:val="both"/>
        <w:rPr>
          <w:lang w:val="cs-CZ"/>
        </w:rPr>
      </w:pPr>
      <w:r w:rsidRPr="00284463">
        <w:rPr>
          <w:lang w:val="cs-CZ"/>
        </w:rPr>
        <w:t xml:space="preserve">MZV se snaží vytvářet prostředí pro dynamický kariérní růst žen a dosáhlo v této oblasti přijetím zákona o zahraniční službě významného pokroku. Zákon o zahraniční službě vyřešil řadu problematických otázek, zejména ve vztahu ke kariérnímu růstu žen (porody a čerpání mateřské, popř. rodičovské dovolené v zahraničí, pojištění zaměstnanců/kyň a jejich rodinných příslušníků). </w:t>
      </w:r>
    </w:p>
    <w:p w14:paraId="6A73EE97" w14:textId="77777777" w:rsidR="001A05B3" w:rsidRPr="00284463" w:rsidRDefault="001A05B3" w:rsidP="001A05B3">
      <w:pPr>
        <w:jc w:val="both"/>
        <w:rPr>
          <w:lang w:val="cs-CZ"/>
        </w:rPr>
      </w:pPr>
    </w:p>
    <w:p w14:paraId="2A673109" w14:textId="785A86FE" w:rsidR="001A05B3" w:rsidRPr="00284463" w:rsidRDefault="001A05B3" w:rsidP="001A05B3">
      <w:pPr>
        <w:jc w:val="both"/>
        <w:rPr>
          <w:lang w:val="cs-CZ"/>
        </w:rPr>
      </w:pPr>
      <w:r w:rsidRPr="00284463">
        <w:rPr>
          <w:lang w:val="cs-CZ"/>
        </w:rPr>
        <w:t xml:space="preserve">Výběrový proces na místa vedoucích zastupitelských úřadů je zakotven v zákoně o zahraniční službě a platných kariérních řádech MZV a nezvýhodňuje ani jedno pohlaví. Tento proces není výlučně v gesci MZV, jmenování velvyslanců a velvyslankyň po schválení personální radou MZV schvaluje vláda a následně prezident republiky s kontrasignací předsedy vlády. </w:t>
      </w:r>
    </w:p>
    <w:p w14:paraId="5F62CB99" w14:textId="77777777" w:rsidR="001A05B3" w:rsidRPr="00284463" w:rsidRDefault="001A05B3" w:rsidP="001A05B3">
      <w:pPr>
        <w:jc w:val="both"/>
        <w:rPr>
          <w:lang w:val="cs-CZ"/>
        </w:rPr>
      </w:pPr>
    </w:p>
    <w:p w14:paraId="0FD0B3F5" w14:textId="25537CB4" w:rsidR="001A05B3" w:rsidRPr="00284463" w:rsidRDefault="001A05B3" w:rsidP="001A05B3">
      <w:pPr>
        <w:jc w:val="both"/>
        <w:rPr>
          <w:lang w:val="cs-CZ"/>
        </w:rPr>
      </w:pPr>
      <w:r w:rsidRPr="00284463">
        <w:rPr>
          <w:lang w:val="cs-CZ"/>
        </w:rPr>
        <w:t>MZV dlouhodobě dosahuje poměru okolo 40% žen v rozhodovacích pozicích na úrovni ředitelek odboru a vedoucí oddělení v ústředí MZV.</w:t>
      </w:r>
      <w:r w:rsidR="0094534F" w:rsidRPr="00284463">
        <w:rPr>
          <w:lang w:val="cs-CZ"/>
        </w:rPr>
        <w:t xml:space="preserve"> Ve srovnání s rokem 2019 došlo k navýšení počtu žen na </w:t>
      </w:r>
      <w:r w:rsidR="00284463" w:rsidRPr="00284463">
        <w:rPr>
          <w:lang w:val="cs-CZ"/>
        </w:rPr>
        <w:t>ře</w:t>
      </w:r>
      <w:r w:rsidR="00284463">
        <w:rPr>
          <w:lang w:val="cs-CZ"/>
        </w:rPr>
        <w:t>di</w:t>
      </w:r>
      <w:r w:rsidR="00284463" w:rsidRPr="00284463">
        <w:rPr>
          <w:lang w:val="cs-CZ"/>
        </w:rPr>
        <w:t>telských</w:t>
      </w:r>
      <w:r w:rsidR="0094534F" w:rsidRPr="00284463">
        <w:rPr>
          <w:lang w:val="cs-CZ"/>
        </w:rPr>
        <w:t xml:space="preserve"> </w:t>
      </w:r>
      <w:r w:rsidR="00284463" w:rsidRPr="00284463">
        <w:rPr>
          <w:lang w:val="cs-CZ"/>
        </w:rPr>
        <w:t>pozicích</w:t>
      </w:r>
      <w:r w:rsidR="0094534F" w:rsidRPr="00284463">
        <w:rPr>
          <w:lang w:val="cs-CZ"/>
        </w:rPr>
        <w:t xml:space="preserve"> (z 39% na 42%)</w:t>
      </w:r>
      <w:r w:rsidRPr="00284463">
        <w:rPr>
          <w:lang w:val="cs-CZ"/>
        </w:rPr>
        <w:t xml:space="preserve"> </w:t>
      </w:r>
      <w:r w:rsidR="0094534F" w:rsidRPr="00284463">
        <w:rPr>
          <w:lang w:val="cs-CZ"/>
        </w:rPr>
        <w:t xml:space="preserve">a k navýšení počtu žen na pozicích vedoucí oddělení (z 36% na 39% v ústředí a 42% v zahraničí). </w:t>
      </w:r>
      <w:r w:rsidRPr="00284463">
        <w:rPr>
          <w:lang w:val="cs-CZ"/>
        </w:rPr>
        <w:t>Poměr žen s diplomatickou hodností rovněž dlouhodobě přesahuje nad hranici 40%</w:t>
      </w:r>
      <w:r w:rsidRPr="00284463">
        <w:rPr>
          <w:rStyle w:val="Znakapoznpodarou"/>
          <w:lang w:val="cs-CZ"/>
        </w:rPr>
        <w:footnoteReference w:id="5"/>
      </w:r>
      <w:r w:rsidRPr="00284463">
        <w:rPr>
          <w:lang w:val="cs-CZ"/>
        </w:rPr>
        <w:t xml:space="preserve">. Poměr velvyslankyň v posledních letech osciluje mezi 15-18%. </w:t>
      </w:r>
    </w:p>
    <w:p w14:paraId="78B0A4E0" w14:textId="7ED6B95D" w:rsidR="001A05B3" w:rsidRPr="00284463" w:rsidRDefault="001A05B3" w:rsidP="001A05B3">
      <w:pPr>
        <w:rPr>
          <w:b/>
          <w:lang w:val="cs-CZ"/>
        </w:rPr>
      </w:pPr>
    </w:p>
    <w:p w14:paraId="39B50133" w14:textId="569ED594" w:rsidR="001A05B3" w:rsidRPr="00284463" w:rsidRDefault="001A05B3" w:rsidP="001A05B3">
      <w:pPr>
        <w:rPr>
          <w:b/>
          <w:i/>
          <w:lang w:val="cs-CZ"/>
        </w:rPr>
      </w:pPr>
      <w:r w:rsidRPr="00284463">
        <w:rPr>
          <w:b/>
          <w:i/>
          <w:lang w:val="cs-CZ"/>
        </w:rPr>
        <w:t>Statistika k 31. 12. 2020</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
        <w:gridCol w:w="622"/>
        <w:gridCol w:w="1079"/>
        <w:gridCol w:w="709"/>
        <w:gridCol w:w="709"/>
        <w:gridCol w:w="850"/>
        <w:gridCol w:w="709"/>
        <w:gridCol w:w="709"/>
        <w:gridCol w:w="1276"/>
      </w:tblGrid>
      <w:tr w:rsidR="001A05B3" w:rsidRPr="00284463" w14:paraId="30568C62" w14:textId="77777777" w:rsidTr="001A05B3">
        <w:tc>
          <w:tcPr>
            <w:tcW w:w="1276" w:type="dxa"/>
            <w:shd w:val="clear" w:color="auto" w:fill="auto"/>
          </w:tcPr>
          <w:p w14:paraId="5D8790B7" w14:textId="77777777" w:rsidR="001A05B3" w:rsidRPr="00284463" w:rsidRDefault="001A05B3" w:rsidP="00B06151">
            <w:pPr>
              <w:rPr>
                <w:rFonts w:eastAsia="SimSun"/>
                <w:b/>
                <w:lang w:val="cs-CZ"/>
              </w:rPr>
            </w:pPr>
            <w:r w:rsidRPr="00284463">
              <w:rPr>
                <w:rFonts w:eastAsia="SimSun"/>
                <w:b/>
                <w:lang w:val="cs-CZ"/>
              </w:rPr>
              <w:t>MZV</w:t>
            </w:r>
          </w:p>
        </w:tc>
        <w:tc>
          <w:tcPr>
            <w:tcW w:w="2409" w:type="dxa"/>
            <w:gridSpan w:val="3"/>
            <w:shd w:val="clear" w:color="auto" w:fill="auto"/>
          </w:tcPr>
          <w:p w14:paraId="34C7B44B" w14:textId="77777777" w:rsidR="001A05B3" w:rsidRPr="00284463" w:rsidRDefault="001A05B3" w:rsidP="00B06151">
            <w:pPr>
              <w:rPr>
                <w:rFonts w:eastAsia="SimSun"/>
                <w:b/>
                <w:lang w:val="cs-CZ"/>
              </w:rPr>
            </w:pPr>
            <w:r w:rsidRPr="00284463">
              <w:rPr>
                <w:rFonts w:eastAsia="SimSun"/>
                <w:b/>
                <w:lang w:val="cs-CZ"/>
              </w:rPr>
              <w:t>Ředitel/ředitelka</w:t>
            </w:r>
          </w:p>
        </w:tc>
        <w:tc>
          <w:tcPr>
            <w:tcW w:w="2268" w:type="dxa"/>
            <w:gridSpan w:val="3"/>
            <w:shd w:val="clear" w:color="auto" w:fill="auto"/>
          </w:tcPr>
          <w:p w14:paraId="6C5C65BA" w14:textId="77777777" w:rsidR="001A05B3" w:rsidRPr="00284463" w:rsidRDefault="001A05B3" w:rsidP="00B06151">
            <w:pPr>
              <w:rPr>
                <w:rFonts w:eastAsia="SimSun"/>
                <w:b/>
                <w:lang w:val="cs-CZ"/>
              </w:rPr>
            </w:pPr>
            <w:r w:rsidRPr="00284463">
              <w:rPr>
                <w:rFonts w:eastAsia="SimSun"/>
                <w:b/>
                <w:lang w:val="cs-CZ"/>
              </w:rPr>
              <w:t>VZÚ</w:t>
            </w:r>
          </w:p>
        </w:tc>
        <w:tc>
          <w:tcPr>
            <w:tcW w:w="2694" w:type="dxa"/>
            <w:gridSpan w:val="3"/>
            <w:shd w:val="clear" w:color="auto" w:fill="auto"/>
          </w:tcPr>
          <w:p w14:paraId="2FB79186" w14:textId="77777777" w:rsidR="001A05B3" w:rsidRPr="00284463" w:rsidRDefault="001A05B3" w:rsidP="00B06151">
            <w:pPr>
              <w:rPr>
                <w:rFonts w:eastAsia="SimSun"/>
                <w:b/>
                <w:lang w:val="cs-CZ"/>
              </w:rPr>
            </w:pPr>
            <w:r w:rsidRPr="00284463">
              <w:rPr>
                <w:rFonts w:eastAsia="SimSun"/>
                <w:b/>
                <w:lang w:val="cs-CZ"/>
              </w:rPr>
              <w:t>Vedoucí oddělení</w:t>
            </w:r>
          </w:p>
        </w:tc>
      </w:tr>
      <w:tr w:rsidR="001A05B3" w:rsidRPr="00284463" w14:paraId="5D4391E0" w14:textId="77777777" w:rsidTr="001A05B3">
        <w:tc>
          <w:tcPr>
            <w:tcW w:w="1276" w:type="dxa"/>
            <w:shd w:val="clear" w:color="auto" w:fill="auto"/>
          </w:tcPr>
          <w:p w14:paraId="0354691E" w14:textId="77777777" w:rsidR="001A05B3" w:rsidRPr="00284463" w:rsidRDefault="001A05B3" w:rsidP="00B06151">
            <w:pPr>
              <w:rPr>
                <w:rFonts w:eastAsia="SimSun"/>
                <w:lang w:val="cs-CZ"/>
              </w:rPr>
            </w:pPr>
          </w:p>
        </w:tc>
        <w:tc>
          <w:tcPr>
            <w:tcW w:w="708" w:type="dxa"/>
            <w:shd w:val="clear" w:color="auto" w:fill="auto"/>
          </w:tcPr>
          <w:p w14:paraId="58514B62" w14:textId="77777777" w:rsidR="001A05B3" w:rsidRPr="00284463" w:rsidRDefault="001A05B3" w:rsidP="00B06151">
            <w:pPr>
              <w:rPr>
                <w:rFonts w:eastAsia="SimSun"/>
                <w:b/>
                <w:lang w:val="cs-CZ"/>
              </w:rPr>
            </w:pPr>
            <w:r w:rsidRPr="00284463">
              <w:rPr>
                <w:rFonts w:eastAsia="SimSun"/>
                <w:b/>
                <w:lang w:val="cs-CZ"/>
              </w:rPr>
              <w:t>M</w:t>
            </w:r>
          </w:p>
        </w:tc>
        <w:tc>
          <w:tcPr>
            <w:tcW w:w="622" w:type="dxa"/>
            <w:shd w:val="clear" w:color="auto" w:fill="auto"/>
          </w:tcPr>
          <w:p w14:paraId="41C5E43E" w14:textId="77777777" w:rsidR="001A05B3" w:rsidRPr="00284463" w:rsidRDefault="001A05B3" w:rsidP="00B06151">
            <w:pPr>
              <w:rPr>
                <w:rFonts w:eastAsia="SimSun"/>
                <w:b/>
                <w:lang w:val="cs-CZ"/>
              </w:rPr>
            </w:pPr>
            <w:r w:rsidRPr="00284463">
              <w:rPr>
                <w:rFonts w:eastAsia="SimSun"/>
                <w:b/>
                <w:lang w:val="cs-CZ"/>
              </w:rPr>
              <w:t>Ž</w:t>
            </w:r>
          </w:p>
        </w:tc>
        <w:tc>
          <w:tcPr>
            <w:tcW w:w="1079" w:type="dxa"/>
            <w:shd w:val="clear" w:color="auto" w:fill="auto"/>
          </w:tcPr>
          <w:p w14:paraId="5FD1EFBE" w14:textId="77777777" w:rsidR="001A05B3" w:rsidRPr="00284463" w:rsidRDefault="001A05B3" w:rsidP="00B06151">
            <w:pPr>
              <w:rPr>
                <w:rFonts w:eastAsia="SimSun"/>
                <w:b/>
                <w:lang w:val="cs-CZ"/>
              </w:rPr>
            </w:pPr>
            <w:r w:rsidRPr="00284463">
              <w:rPr>
                <w:rFonts w:eastAsia="SimSun"/>
                <w:b/>
                <w:lang w:val="cs-CZ"/>
              </w:rPr>
              <w:t>% Ž</w:t>
            </w:r>
          </w:p>
        </w:tc>
        <w:tc>
          <w:tcPr>
            <w:tcW w:w="709" w:type="dxa"/>
            <w:shd w:val="clear" w:color="auto" w:fill="auto"/>
          </w:tcPr>
          <w:p w14:paraId="13E74855" w14:textId="77777777" w:rsidR="001A05B3" w:rsidRPr="00284463" w:rsidRDefault="001A05B3" w:rsidP="00B06151">
            <w:pPr>
              <w:rPr>
                <w:rFonts w:eastAsia="SimSun"/>
                <w:b/>
                <w:lang w:val="cs-CZ"/>
              </w:rPr>
            </w:pPr>
            <w:r w:rsidRPr="00284463">
              <w:rPr>
                <w:rFonts w:eastAsia="SimSun"/>
                <w:b/>
                <w:lang w:val="cs-CZ"/>
              </w:rPr>
              <w:t>M</w:t>
            </w:r>
          </w:p>
        </w:tc>
        <w:tc>
          <w:tcPr>
            <w:tcW w:w="709" w:type="dxa"/>
            <w:shd w:val="clear" w:color="auto" w:fill="auto"/>
          </w:tcPr>
          <w:p w14:paraId="2ACEA578" w14:textId="77777777" w:rsidR="001A05B3" w:rsidRPr="00284463" w:rsidRDefault="001A05B3" w:rsidP="00B06151">
            <w:pPr>
              <w:rPr>
                <w:rFonts w:eastAsia="SimSun"/>
                <w:b/>
                <w:lang w:val="cs-CZ"/>
              </w:rPr>
            </w:pPr>
            <w:r w:rsidRPr="00284463">
              <w:rPr>
                <w:rFonts w:eastAsia="SimSun"/>
                <w:b/>
                <w:lang w:val="cs-CZ"/>
              </w:rPr>
              <w:t>Ž</w:t>
            </w:r>
          </w:p>
        </w:tc>
        <w:tc>
          <w:tcPr>
            <w:tcW w:w="850" w:type="dxa"/>
            <w:shd w:val="clear" w:color="auto" w:fill="auto"/>
          </w:tcPr>
          <w:p w14:paraId="54AEB619" w14:textId="77777777" w:rsidR="001A05B3" w:rsidRPr="00284463" w:rsidRDefault="001A05B3" w:rsidP="00B06151">
            <w:pPr>
              <w:rPr>
                <w:rFonts w:eastAsia="SimSun"/>
                <w:b/>
                <w:lang w:val="cs-CZ"/>
              </w:rPr>
            </w:pPr>
            <w:r w:rsidRPr="00284463">
              <w:rPr>
                <w:rFonts w:eastAsia="SimSun"/>
                <w:b/>
                <w:lang w:val="cs-CZ"/>
              </w:rPr>
              <w:t>% Ž</w:t>
            </w:r>
          </w:p>
        </w:tc>
        <w:tc>
          <w:tcPr>
            <w:tcW w:w="709" w:type="dxa"/>
            <w:shd w:val="clear" w:color="auto" w:fill="auto"/>
          </w:tcPr>
          <w:p w14:paraId="4D8CBE30" w14:textId="77777777" w:rsidR="001A05B3" w:rsidRPr="00284463" w:rsidRDefault="001A05B3" w:rsidP="00B06151">
            <w:pPr>
              <w:rPr>
                <w:rFonts w:eastAsia="SimSun"/>
                <w:b/>
                <w:lang w:val="cs-CZ"/>
              </w:rPr>
            </w:pPr>
            <w:r w:rsidRPr="00284463">
              <w:rPr>
                <w:rFonts w:eastAsia="SimSun"/>
                <w:b/>
                <w:lang w:val="cs-CZ"/>
              </w:rPr>
              <w:t>M</w:t>
            </w:r>
          </w:p>
        </w:tc>
        <w:tc>
          <w:tcPr>
            <w:tcW w:w="709" w:type="dxa"/>
            <w:shd w:val="clear" w:color="auto" w:fill="auto"/>
          </w:tcPr>
          <w:p w14:paraId="2B6920DD" w14:textId="77777777" w:rsidR="001A05B3" w:rsidRPr="00284463" w:rsidRDefault="001A05B3" w:rsidP="00B06151">
            <w:pPr>
              <w:rPr>
                <w:rFonts w:eastAsia="SimSun"/>
                <w:b/>
                <w:lang w:val="cs-CZ"/>
              </w:rPr>
            </w:pPr>
            <w:r w:rsidRPr="00284463">
              <w:rPr>
                <w:rFonts w:eastAsia="SimSun"/>
                <w:b/>
                <w:lang w:val="cs-CZ"/>
              </w:rPr>
              <w:t>Ž</w:t>
            </w:r>
          </w:p>
        </w:tc>
        <w:tc>
          <w:tcPr>
            <w:tcW w:w="1276" w:type="dxa"/>
            <w:shd w:val="clear" w:color="auto" w:fill="auto"/>
          </w:tcPr>
          <w:p w14:paraId="7B1E8790" w14:textId="77777777" w:rsidR="001A05B3" w:rsidRPr="00284463" w:rsidRDefault="001A05B3" w:rsidP="00B06151">
            <w:pPr>
              <w:rPr>
                <w:rFonts w:eastAsia="SimSun"/>
                <w:b/>
                <w:lang w:val="cs-CZ"/>
              </w:rPr>
            </w:pPr>
            <w:r w:rsidRPr="00284463">
              <w:rPr>
                <w:rFonts w:eastAsia="SimSun"/>
                <w:b/>
                <w:lang w:val="cs-CZ"/>
              </w:rPr>
              <w:t>% Ž</w:t>
            </w:r>
          </w:p>
        </w:tc>
      </w:tr>
      <w:tr w:rsidR="001A05B3" w:rsidRPr="00284463" w14:paraId="689576B1" w14:textId="77777777" w:rsidTr="001A05B3">
        <w:tc>
          <w:tcPr>
            <w:tcW w:w="1276" w:type="dxa"/>
            <w:shd w:val="clear" w:color="auto" w:fill="auto"/>
          </w:tcPr>
          <w:p w14:paraId="0440343E" w14:textId="77777777" w:rsidR="001A05B3" w:rsidRPr="00284463" w:rsidRDefault="001A05B3" w:rsidP="00B06151">
            <w:pPr>
              <w:rPr>
                <w:rFonts w:eastAsia="SimSun"/>
                <w:b/>
                <w:lang w:val="cs-CZ"/>
              </w:rPr>
            </w:pPr>
            <w:r w:rsidRPr="00284463">
              <w:rPr>
                <w:rFonts w:eastAsia="SimSun"/>
                <w:b/>
                <w:lang w:val="cs-CZ"/>
              </w:rPr>
              <w:t xml:space="preserve">Ústředí </w:t>
            </w:r>
          </w:p>
        </w:tc>
        <w:tc>
          <w:tcPr>
            <w:tcW w:w="708" w:type="dxa"/>
            <w:shd w:val="clear" w:color="auto" w:fill="auto"/>
          </w:tcPr>
          <w:p w14:paraId="2E20D749" w14:textId="77777777" w:rsidR="001A05B3" w:rsidRPr="00284463" w:rsidRDefault="001A05B3" w:rsidP="00B06151">
            <w:pPr>
              <w:rPr>
                <w:rFonts w:eastAsia="SimSun"/>
                <w:lang w:val="cs-CZ"/>
              </w:rPr>
            </w:pPr>
            <w:r w:rsidRPr="00284463">
              <w:rPr>
                <w:rFonts w:eastAsia="SimSun"/>
                <w:lang w:val="cs-CZ"/>
              </w:rPr>
              <w:t>24</w:t>
            </w:r>
          </w:p>
        </w:tc>
        <w:tc>
          <w:tcPr>
            <w:tcW w:w="622" w:type="dxa"/>
            <w:shd w:val="clear" w:color="auto" w:fill="auto"/>
          </w:tcPr>
          <w:p w14:paraId="3CEFDE2A" w14:textId="77777777" w:rsidR="001A05B3" w:rsidRPr="00284463" w:rsidRDefault="001A05B3" w:rsidP="00B06151">
            <w:pPr>
              <w:rPr>
                <w:rFonts w:eastAsia="SimSun"/>
                <w:lang w:val="cs-CZ"/>
              </w:rPr>
            </w:pPr>
            <w:r w:rsidRPr="00284463">
              <w:rPr>
                <w:rFonts w:eastAsia="SimSun"/>
                <w:lang w:val="cs-CZ"/>
              </w:rPr>
              <w:t xml:space="preserve">17 </w:t>
            </w:r>
          </w:p>
        </w:tc>
        <w:tc>
          <w:tcPr>
            <w:tcW w:w="1079" w:type="dxa"/>
            <w:shd w:val="clear" w:color="auto" w:fill="auto"/>
          </w:tcPr>
          <w:p w14:paraId="592AD882" w14:textId="77777777" w:rsidR="001A05B3" w:rsidRPr="00284463" w:rsidRDefault="001A05B3" w:rsidP="00B06151">
            <w:pPr>
              <w:rPr>
                <w:rFonts w:eastAsia="SimSun"/>
                <w:lang w:val="cs-CZ"/>
              </w:rPr>
            </w:pPr>
            <w:r w:rsidRPr="00284463">
              <w:rPr>
                <w:rFonts w:eastAsia="SimSun"/>
                <w:lang w:val="cs-CZ"/>
              </w:rPr>
              <w:t>42 %</w:t>
            </w:r>
          </w:p>
        </w:tc>
        <w:tc>
          <w:tcPr>
            <w:tcW w:w="709" w:type="dxa"/>
            <w:shd w:val="clear" w:color="auto" w:fill="auto"/>
          </w:tcPr>
          <w:p w14:paraId="5BC0D89A" w14:textId="77777777" w:rsidR="001A05B3" w:rsidRPr="00284463" w:rsidRDefault="001A05B3" w:rsidP="00B06151">
            <w:pPr>
              <w:rPr>
                <w:rFonts w:eastAsia="SimSun"/>
                <w:lang w:val="cs-CZ"/>
              </w:rPr>
            </w:pPr>
          </w:p>
        </w:tc>
        <w:tc>
          <w:tcPr>
            <w:tcW w:w="709" w:type="dxa"/>
            <w:shd w:val="clear" w:color="auto" w:fill="auto"/>
          </w:tcPr>
          <w:p w14:paraId="104282EF" w14:textId="77777777" w:rsidR="001A05B3" w:rsidRPr="00284463" w:rsidRDefault="001A05B3" w:rsidP="00B06151">
            <w:pPr>
              <w:rPr>
                <w:rFonts w:eastAsia="SimSun"/>
                <w:lang w:val="cs-CZ"/>
              </w:rPr>
            </w:pPr>
          </w:p>
        </w:tc>
        <w:tc>
          <w:tcPr>
            <w:tcW w:w="850" w:type="dxa"/>
            <w:shd w:val="clear" w:color="auto" w:fill="auto"/>
          </w:tcPr>
          <w:p w14:paraId="62A5CF62" w14:textId="77777777" w:rsidR="001A05B3" w:rsidRPr="00284463" w:rsidRDefault="001A05B3" w:rsidP="00B06151">
            <w:pPr>
              <w:rPr>
                <w:rFonts w:eastAsia="SimSun"/>
                <w:lang w:val="cs-CZ"/>
              </w:rPr>
            </w:pPr>
          </w:p>
        </w:tc>
        <w:tc>
          <w:tcPr>
            <w:tcW w:w="709" w:type="dxa"/>
            <w:shd w:val="clear" w:color="auto" w:fill="auto"/>
          </w:tcPr>
          <w:p w14:paraId="0E11C429" w14:textId="77777777" w:rsidR="001A05B3" w:rsidRPr="00284463" w:rsidRDefault="001A05B3" w:rsidP="00B06151">
            <w:pPr>
              <w:rPr>
                <w:rFonts w:eastAsia="SimSun"/>
                <w:lang w:val="cs-CZ"/>
              </w:rPr>
            </w:pPr>
            <w:r w:rsidRPr="00284463">
              <w:rPr>
                <w:rFonts w:eastAsia="SimSun"/>
                <w:lang w:val="cs-CZ"/>
              </w:rPr>
              <w:t>73</w:t>
            </w:r>
          </w:p>
        </w:tc>
        <w:tc>
          <w:tcPr>
            <w:tcW w:w="709" w:type="dxa"/>
            <w:shd w:val="clear" w:color="auto" w:fill="auto"/>
          </w:tcPr>
          <w:p w14:paraId="5A9F1F67" w14:textId="77777777" w:rsidR="001A05B3" w:rsidRPr="00284463" w:rsidRDefault="001A05B3" w:rsidP="00B06151">
            <w:pPr>
              <w:rPr>
                <w:rFonts w:eastAsia="SimSun"/>
                <w:lang w:val="cs-CZ"/>
              </w:rPr>
            </w:pPr>
            <w:r w:rsidRPr="00284463">
              <w:rPr>
                <w:rFonts w:eastAsia="SimSun"/>
                <w:lang w:val="cs-CZ"/>
              </w:rPr>
              <w:t>47</w:t>
            </w:r>
          </w:p>
        </w:tc>
        <w:tc>
          <w:tcPr>
            <w:tcW w:w="1276" w:type="dxa"/>
            <w:shd w:val="clear" w:color="auto" w:fill="auto"/>
          </w:tcPr>
          <w:p w14:paraId="25848956" w14:textId="77777777" w:rsidR="001A05B3" w:rsidRPr="00284463" w:rsidRDefault="001A05B3" w:rsidP="00B06151">
            <w:pPr>
              <w:rPr>
                <w:rFonts w:eastAsia="SimSun"/>
                <w:lang w:val="cs-CZ"/>
              </w:rPr>
            </w:pPr>
            <w:r w:rsidRPr="00284463">
              <w:rPr>
                <w:rFonts w:eastAsia="SimSun"/>
                <w:lang w:val="cs-CZ"/>
              </w:rPr>
              <w:t>39%</w:t>
            </w:r>
          </w:p>
        </w:tc>
      </w:tr>
      <w:tr w:rsidR="001A05B3" w:rsidRPr="00284463" w14:paraId="4E239A39" w14:textId="77777777" w:rsidTr="001A05B3">
        <w:tc>
          <w:tcPr>
            <w:tcW w:w="1276" w:type="dxa"/>
            <w:shd w:val="clear" w:color="auto" w:fill="auto"/>
          </w:tcPr>
          <w:p w14:paraId="48F744F5" w14:textId="77777777" w:rsidR="001A05B3" w:rsidRPr="00284463" w:rsidRDefault="001A05B3" w:rsidP="00B06151">
            <w:pPr>
              <w:rPr>
                <w:rFonts w:eastAsia="SimSun"/>
                <w:b/>
                <w:lang w:val="cs-CZ"/>
              </w:rPr>
            </w:pPr>
            <w:r w:rsidRPr="00284463">
              <w:rPr>
                <w:rFonts w:eastAsia="SimSun"/>
                <w:b/>
                <w:lang w:val="cs-CZ"/>
              </w:rPr>
              <w:t>Zahraničí</w:t>
            </w:r>
          </w:p>
        </w:tc>
        <w:tc>
          <w:tcPr>
            <w:tcW w:w="708" w:type="dxa"/>
            <w:shd w:val="clear" w:color="auto" w:fill="auto"/>
          </w:tcPr>
          <w:p w14:paraId="511D50FB" w14:textId="77777777" w:rsidR="001A05B3" w:rsidRPr="00284463" w:rsidRDefault="001A05B3" w:rsidP="00B06151">
            <w:pPr>
              <w:rPr>
                <w:rFonts w:eastAsia="SimSun"/>
                <w:lang w:val="cs-CZ"/>
              </w:rPr>
            </w:pPr>
          </w:p>
        </w:tc>
        <w:tc>
          <w:tcPr>
            <w:tcW w:w="622" w:type="dxa"/>
            <w:shd w:val="clear" w:color="auto" w:fill="auto"/>
          </w:tcPr>
          <w:p w14:paraId="6CB88F30" w14:textId="77777777" w:rsidR="001A05B3" w:rsidRPr="00284463" w:rsidRDefault="001A05B3" w:rsidP="00B06151">
            <w:pPr>
              <w:rPr>
                <w:rFonts w:eastAsia="SimSun"/>
                <w:lang w:val="cs-CZ"/>
              </w:rPr>
            </w:pPr>
          </w:p>
        </w:tc>
        <w:tc>
          <w:tcPr>
            <w:tcW w:w="1079" w:type="dxa"/>
            <w:shd w:val="clear" w:color="auto" w:fill="auto"/>
          </w:tcPr>
          <w:p w14:paraId="7F5A14C0" w14:textId="77777777" w:rsidR="001A05B3" w:rsidRPr="00284463" w:rsidRDefault="001A05B3" w:rsidP="00B06151">
            <w:pPr>
              <w:rPr>
                <w:rFonts w:eastAsia="SimSun"/>
                <w:lang w:val="cs-CZ"/>
              </w:rPr>
            </w:pPr>
          </w:p>
        </w:tc>
        <w:tc>
          <w:tcPr>
            <w:tcW w:w="709" w:type="dxa"/>
            <w:shd w:val="clear" w:color="auto" w:fill="auto"/>
          </w:tcPr>
          <w:p w14:paraId="3DDB14BE" w14:textId="77777777" w:rsidR="001A05B3" w:rsidRPr="00284463" w:rsidRDefault="001A05B3" w:rsidP="00B06151">
            <w:pPr>
              <w:rPr>
                <w:rFonts w:eastAsia="SimSun"/>
                <w:lang w:val="cs-CZ"/>
              </w:rPr>
            </w:pPr>
            <w:r w:rsidRPr="00284463">
              <w:rPr>
                <w:rFonts w:eastAsia="SimSun"/>
                <w:lang w:val="cs-CZ"/>
              </w:rPr>
              <w:t>94</w:t>
            </w:r>
          </w:p>
        </w:tc>
        <w:tc>
          <w:tcPr>
            <w:tcW w:w="709" w:type="dxa"/>
            <w:shd w:val="clear" w:color="auto" w:fill="auto"/>
          </w:tcPr>
          <w:p w14:paraId="18B794C4" w14:textId="77777777" w:rsidR="001A05B3" w:rsidRPr="00284463" w:rsidRDefault="001A05B3" w:rsidP="00B06151">
            <w:pPr>
              <w:rPr>
                <w:rFonts w:eastAsia="SimSun"/>
                <w:lang w:val="cs-CZ"/>
              </w:rPr>
            </w:pPr>
            <w:r w:rsidRPr="00284463">
              <w:rPr>
                <w:rFonts w:eastAsia="SimSun"/>
                <w:lang w:val="cs-CZ"/>
              </w:rPr>
              <w:t>18</w:t>
            </w:r>
          </w:p>
        </w:tc>
        <w:tc>
          <w:tcPr>
            <w:tcW w:w="850" w:type="dxa"/>
            <w:shd w:val="clear" w:color="auto" w:fill="auto"/>
          </w:tcPr>
          <w:p w14:paraId="55D2F194" w14:textId="77777777" w:rsidR="001A05B3" w:rsidRPr="00284463" w:rsidRDefault="001A05B3" w:rsidP="00B06151">
            <w:pPr>
              <w:rPr>
                <w:rFonts w:eastAsia="SimSun"/>
                <w:lang w:val="cs-CZ"/>
              </w:rPr>
            </w:pPr>
            <w:r w:rsidRPr="00284463">
              <w:rPr>
                <w:rFonts w:eastAsia="SimSun"/>
                <w:lang w:val="cs-CZ"/>
              </w:rPr>
              <w:t>16%</w:t>
            </w:r>
          </w:p>
        </w:tc>
        <w:tc>
          <w:tcPr>
            <w:tcW w:w="709" w:type="dxa"/>
            <w:shd w:val="clear" w:color="auto" w:fill="auto"/>
          </w:tcPr>
          <w:p w14:paraId="188A9475" w14:textId="77777777" w:rsidR="001A05B3" w:rsidRPr="00284463" w:rsidRDefault="001A05B3" w:rsidP="00B06151">
            <w:pPr>
              <w:rPr>
                <w:rFonts w:eastAsia="SimSun"/>
                <w:lang w:val="cs-CZ"/>
              </w:rPr>
            </w:pPr>
            <w:r w:rsidRPr="00284463">
              <w:rPr>
                <w:rFonts w:eastAsia="SimSun"/>
                <w:lang w:val="cs-CZ"/>
              </w:rPr>
              <w:t>62</w:t>
            </w:r>
          </w:p>
        </w:tc>
        <w:tc>
          <w:tcPr>
            <w:tcW w:w="709" w:type="dxa"/>
            <w:shd w:val="clear" w:color="auto" w:fill="auto"/>
          </w:tcPr>
          <w:p w14:paraId="176E103E" w14:textId="77777777" w:rsidR="001A05B3" w:rsidRPr="00284463" w:rsidRDefault="001A05B3" w:rsidP="00B06151">
            <w:pPr>
              <w:rPr>
                <w:rFonts w:eastAsia="SimSun"/>
                <w:lang w:val="cs-CZ"/>
              </w:rPr>
            </w:pPr>
            <w:r w:rsidRPr="00284463">
              <w:rPr>
                <w:rFonts w:eastAsia="SimSun"/>
                <w:lang w:val="cs-CZ"/>
              </w:rPr>
              <w:t>44</w:t>
            </w:r>
          </w:p>
        </w:tc>
        <w:tc>
          <w:tcPr>
            <w:tcW w:w="1276" w:type="dxa"/>
            <w:shd w:val="clear" w:color="auto" w:fill="auto"/>
          </w:tcPr>
          <w:p w14:paraId="7471D5CA" w14:textId="77777777" w:rsidR="001A05B3" w:rsidRPr="00284463" w:rsidRDefault="001A05B3" w:rsidP="00B06151">
            <w:pPr>
              <w:rPr>
                <w:rFonts w:eastAsia="SimSun"/>
                <w:lang w:val="cs-CZ"/>
              </w:rPr>
            </w:pPr>
            <w:r w:rsidRPr="00284463">
              <w:rPr>
                <w:rFonts w:eastAsia="SimSun"/>
                <w:lang w:val="cs-CZ"/>
              </w:rPr>
              <w:t>42%</w:t>
            </w:r>
          </w:p>
        </w:tc>
      </w:tr>
    </w:tbl>
    <w:p w14:paraId="1FE06615" w14:textId="69A399DC" w:rsidR="00057D32" w:rsidRPr="00284463" w:rsidRDefault="00057D32" w:rsidP="00057D32">
      <w:pPr>
        <w:pStyle w:val="Nadpis2"/>
        <w:pBdr>
          <w:bottom w:val="single" w:sz="4" w:space="1" w:color="4F81BD"/>
        </w:pBdr>
        <w:rPr>
          <w:rFonts w:ascii="Times New Roman" w:hAnsi="Times New Roman"/>
          <w:i w:val="0"/>
          <w:color w:val="2F5496" w:themeColor="accent1" w:themeShade="BF"/>
          <w:lang w:val="cs-CZ"/>
        </w:rPr>
      </w:pPr>
      <w:bookmarkStart w:id="8" w:name="_Toc39673328"/>
    </w:p>
    <w:p w14:paraId="3BE1FE66" w14:textId="1CD48433" w:rsidR="00A30FD8" w:rsidRPr="00284463" w:rsidRDefault="00A30FD8" w:rsidP="00057D32">
      <w:pPr>
        <w:pStyle w:val="Nadpis2"/>
        <w:pBdr>
          <w:bottom w:val="single" w:sz="4" w:space="1" w:color="4F81BD"/>
        </w:pBdr>
        <w:rPr>
          <w:rFonts w:ascii="Times New Roman" w:hAnsi="Times New Roman"/>
          <w:i w:val="0"/>
          <w:color w:val="2F5496" w:themeColor="accent1" w:themeShade="BF"/>
          <w:lang w:val="cs-CZ"/>
        </w:rPr>
      </w:pPr>
      <w:r w:rsidRPr="00284463">
        <w:rPr>
          <w:rFonts w:ascii="Times New Roman" w:hAnsi="Times New Roman"/>
          <w:i w:val="0"/>
          <w:color w:val="2F5496" w:themeColor="accent1" w:themeShade="BF"/>
          <w:lang w:val="cs-CZ"/>
        </w:rPr>
        <w:t>Úkol č. 3</w:t>
      </w:r>
      <w:bookmarkEnd w:id="8"/>
    </w:p>
    <w:p w14:paraId="67E97062" w14:textId="77777777" w:rsidR="00A30FD8" w:rsidRPr="00284463" w:rsidRDefault="00BB40FD" w:rsidP="009E6013">
      <w:pPr>
        <w:snapToGrid w:val="0"/>
        <w:spacing w:after="120" w:line="276" w:lineRule="auto"/>
        <w:jc w:val="both"/>
        <w:rPr>
          <w:b/>
          <w:lang w:val="cs-CZ"/>
        </w:rPr>
      </w:pPr>
      <w:r w:rsidRPr="00284463">
        <w:rPr>
          <w:b/>
          <w:lang w:val="cs-CZ"/>
        </w:rPr>
        <w:t xml:space="preserve">Obecný cíl: </w:t>
      </w:r>
      <w:r w:rsidR="00A30FD8" w:rsidRPr="00284463">
        <w:rPr>
          <w:b/>
          <w:lang w:val="cs-CZ"/>
        </w:rPr>
        <w:t>Podporovat zvyšování zastoupení žen v armádě a policejních složkách</w:t>
      </w:r>
    </w:p>
    <w:p w14:paraId="01895DEF" w14:textId="77777777" w:rsidR="00A30FD8" w:rsidRPr="00284463" w:rsidRDefault="00A30FD8" w:rsidP="009E6013">
      <w:pPr>
        <w:snapToGrid w:val="0"/>
        <w:spacing w:after="120" w:line="276" w:lineRule="auto"/>
        <w:jc w:val="both"/>
        <w:rPr>
          <w:lang w:val="cs-CZ"/>
        </w:rPr>
      </w:pPr>
      <w:r w:rsidRPr="00284463">
        <w:rPr>
          <w:lang w:val="cs-CZ"/>
        </w:rPr>
        <w:t>Úkoly:</w:t>
      </w:r>
    </w:p>
    <w:p w14:paraId="0DE556BF" w14:textId="77777777" w:rsidR="00A30FD8" w:rsidRPr="00284463" w:rsidRDefault="00A30FD8" w:rsidP="009E6013">
      <w:pPr>
        <w:numPr>
          <w:ilvl w:val="0"/>
          <w:numId w:val="4"/>
        </w:numPr>
        <w:snapToGrid w:val="0"/>
        <w:spacing w:after="120" w:line="276" w:lineRule="auto"/>
        <w:jc w:val="both"/>
        <w:rPr>
          <w:lang w:val="cs-CZ"/>
        </w:rPr>
      </w:pPr>
      <w:r w:rsidRPr="00284463">
        <w:rPr>
          <w:lang w:val="cs-CZ"/>
        </w:rPr>
        <w:t>Vést statistiky počtu žen vstupujících do armády a policejních složek včetně pozic, na které jsou přijímány</w:t>
      </w:r>
      <w:r w:rsidR="005C7A09" w:rsidRPr="00284463">
        <w:rPr>
          <w:lang w:val="cs-CZ"/>
        </w:rPr>
        <w:t>;</w:t>
      </w:r>
    </w:p>
    <w:p w14:paraId="323D845A" w14:textId="77777777" w:rsidR="005C7A09" w:rsidRPr="00284463" w:rsidRDefault="005C7A09" w:rsidP="009E6013">
      <w:pPr>
        <w:numPr>
          <w:ilvl w:val="0"/>
          <w:numId w:val="4"/>
        </w:numPr>
        <w:snapToGrid w:val="0"/>
        <w:spacing w:after="120" w:line="276" w:lineRule="auto"/>
        <w:jc w:val="both"/>
        <w:rPr>
          <w:lang w:val="cs-CZ"/>
        </w:rPr>
      </w:pPr>
      <w:r w:rsidRPr="00284463">
        <w:rPr>
          <w:lang w:val="cs-CZ"/>
        </w:rPr>
        <w:t>u</w:t>
      </w:r>
      <w:r w:rsidR="00A30FD8" w:rsidRPr="00284463">
        <w:rPr>
          <w:lang w:val="cs-CZ"/>
        </w:rPr>
        <w:t>silovat o zachování nastoleného trendu dosaženého a zvyšujícího se podílu žen v AČR.</w:t>
      </w:r>
    </w:p>
    <w:p w14:paraId="00C0009E" w14:textId="15FED53F" w:rsidR="00895DB4" w:rsidRPr="00284463" w:rsidRDefault="00895DB4" w:rsidP="009E6013">
      <w:pPr>
        <w:snapToGrid w:val="0"/>
        <w:spacing w:after="120"/>
        <w:jc w:val="both"/>
        <w:rPr>
          <w:lang w:val="cs-CZ"/>
        </w:rPr>
      </w:pPr>
      <w:r w:rsidRPr="00284463">
        <w:rPr>
          <w:b/>
          <w:lang w:val="cs-CZ"/>
        </w:rPr>
        <w:t xml:space="preserve">Ministerstvo obrany, vnitra i zahraničí </w:t>
      </w:r>
      <w:r w:rsidRPr="00284463">
        <w:rPr>
          <w:lang w:val="cs-CZ"/>
        </w:rPr>
        <w:t xml:space="preserve">sledují vývoj statistických údajů týkajících se zastoupení žen a mužů v řídících funkcích v rámci svých resortů a obsazení řídících funkcí podle pohlaví. Každoročně tyto údaje předávají Českému statistickému úřadu, který je publikuje v ročence Zaostřeno na ženy a muže (dostupné online zde: </w:t>
      </w:r>
      <w:hyperlink r:id="rId12" w:history="1">
        <w:r w:rsidRPr="00284463">
          <w:rPr>
            <w:rStyle w:val="Hypertextovodkaz"/>
            <w:lang w:val="cs-CZ"/>
          </w:rPr>
          <w:t>https://www.czso.cz/csu/czso/zaostreno-na-zeny-a-muze-ffhk87f13g</w:t>
        </w:r>
      </w:hyperlink>
      <w:r w:rsidRPr="00284463">
        <w:rPr>
          <w:lang w:val="cs-CZ"/>
        </w:rPr>
        <w:t xml:space="preserve">). </w:t>
      </w:r>
    </w:p>
    <w:p w14:paraId="188E13CD" w14:textId="77777777" w:rsidR="00293B9D" w:rsidRPr="00284463" w:rsidRDefault="00293B9D" w:rsidP="009E6013">
      <w:pPr>
        <w:spacing w:after="120"/>
        <w:jc w:val="both"/>
        <w:rPr>
          <w:lang w:val="cs-CZ"/>
        </w:rPr>
      </w:pPr>
    </w:p>
    <w:p w14:paraId="486C0B05" w14:textId="73B532AA" w:rsidR="00293B9D" w:rsidRPr="00284463" w:rsidRDefault="00293B9D" w:rsidP="009E6013">
      <w:pPr>
        <w:pStyle w:val="Odstavecseseznamem"/>
        <w:numPr>
          <w:ilvl w:val="0"/>
          <w:numId w:val="26"/>
        </w:numPr>
        <w:spacing w:after="120"/>
        <w:jc w:val="both"/>
        <w:rPr>
          <w:b/>
          <w:u w:val="single"/>
          <w:lang w:val="cs-CZ"/>
        </w:rPr>
      </w:pPr>
      <w:r w:rsidRPr="00284463">
        <w:rPr>
          <w:b/>
          <w:u w:val="single"/>
          <w:lang w:val="cs-CZ"/>
        </w:rPr>
        <w:t>Zastoupení žen v AČR</w:t>
      </w:r>
    </w:p>
    <w:p w14:paraId="09659B0C" w14:textId="77777777" w:rsidR="00293B9D" w:rsidRPr="00284463" w:rsidRDefault="00293B9D" w:rsidP="009E6013">
      <w:pPr>
        <w:pStyle w:val="Odstavecseseznamem"/>
        <w:spacing w:after="120"/>
        <w:ind w:left="1080"/>
        <w:jc w:val="both"/>
        <w:rPr>
          <w:b/>
          <w:u w:val="single"/>
          <w:lang w:val="cs-CZ"/>
        </w:rPr>
      </w:pPr>
    </w:p>
    <w:p w14:paraId="07424D7F" w14:textId="31C75DF3" w:rsidR="001A05B3" w:rsidRPr="00284463" w:rsidRDefault="001A05B3" w:rsidP="009E6013">
      <w:pPr>
        <w:spacing w:after="120"/>
        <w:jc w:val="both"/>
        <w:rPr>
          <w:lang w:val="cs-CZ"/>
        </w:rPr>
      </w:pPr>
      <w:r w:rsidRPr="00284463">
        <w:rPr>
          <w:lang w:val="cs-CZ"/>
        </w:rPr>
        <w:t xml:space="preserve">Odbor doplňování personálu Agentury personalistiky AČR v rámci náborových aktivit trvale zdůrazňuje zájem o vstup žen do AČR. V roce 2020 bylo realizováno celkem 651 náborových aktivit různého rozsahu. Mezi nejvýznamnější akce, na </w:t>
      </w:r>
      <w:r w:rsidR="00187667" w:rsidRPr="00284463">
        <w:rPr>
          <w:lang w:val="cs-CZ"/>
        </w:rPr>
        <w:t>kterých</w:t>
      </w:r>
      <w:r w:rsidRPr="00284463">
        <w:rPr>
          <w:lang w:val="cs-CZ"/>
        </w:rPr>
        <w:t xml:space="preserve"> byl nábor prováděn, patřily např. Gaudeamus – Burza vysokých škol – Praha Letňany, Sparta vzdává hold – Praha O2 Aréna, Burza práce – Česká Lípa, Prezentace AČR na sportovní akci Innogy Winter Run 2020 v Českých Budějovicích a, Běžecké závody Palestra – Praha Kbely. </w:t>
      </w:r>
    </w:p>
    <w:p w14:paraId="15A3C746" w14:textId="39E3A258" w:rsidR="001A05B3" w:rsidRPr="00284463" w:rsidRDefault="001A05B3" w:rsidP="009E6013">
      <w:pPr>
        <w:spacing w:after="120"/>
        <w:jc w:val="both"/>
        <w:rPr>
          <w:lang w:val="cs-CZ"/>
        </w:rPr>
      </w:pPr>
      <w:r w:rsidRPr="00284463">
        <w:rPr>
          <w:lang w:val="cs-CZ"/>
        </w:rPr>
        <w:t xml:space="preserve">Vzhledem k epidemiologické situaci bylo 110 plánovaných akcí organizátorem zrušeno nebo účast byla nařízením hlavní hygieničky MO zakázána. </w:t>
      </w:r>
    </w:p>
    <w:p w14:paraId="6CD7DD10" w14:textId="77777777" w:rsidR="00293B9D" w:rsidRPr="00284463" w:rsidRDefault="00293B9D" w:rsidP="001A05B3">
      <w:pPr>
        <w:spacing w:after="120"/>
        <w:jc w:val="both"/>
        <w:rPr>
          <w:lang w:val="cs-CZ"/>
        </w:rPr>
      </w:pPr>
    </w:p>
    <w:p w14:paraId="445543EB" w14:textId="23A17815" w:rsidR="001A05B3" w:rsidRPr="00284463" w:rsidRDefault="00293B9D" w:rsidP="001A05B3">
      <w:pPr>
        <w:spacing w:after="120"/>
        <w:rPr>
          <w:b/>
          <w:bCs/>
          <w:i/>
          <w:lang w:val="cs-CZ"/>
        </w:rPr>
      </w:pPr>
      <w:r w:rsidRPr="00284463">
        <w:rPr>
          <w:b/>
          <w:bCs/>
          <w:i/>
          <w:lang w:val="cs-CZ"/>
        </w:rPr>
        <w:t>V</w:t>
      </w:r>
      <w:r w:rsidR="001A05B3" w:rsidRPr="00284463">
        <w:rPr>
          <w:b/>
          <w:bCs/>
          <w:i/>
          <w:lang w:val="cs-CZ"/>
        </w:rPr>
        <w:t>ývoj počtů vojákyň od</w:t>
      </w:r>
      <w:r w:rsidRPr="00284463">
        <w:rPr>
          <w:b/>
          <w:bCs/>
          <w:i/>
          <w:lang w:val="cs-CZ"/>
        </w:rPr>
        <w:t xml:space="preserve"> vstupu České republiky do NATO</w:t>
      </w:r>
    </w:p>
    <w:p w14:paraId="161B6D29" w14:textId="77777777" w:rsidR="001A05B3" w:rsidRPr="00284463" w:rsidRDefault="001A05B3" w:rsidP="001A05B3">
      <w:pPr>
        <w:jc w:val="both"/>
        <w:rPr>
          <w:bCs/>
          <w:lang w:val="cs-CZ"/>
        </w:rPr>
      </w:pPr>
      <w:r w:rsidRPr="00284463">
        <w:rPr>
          <w:noProof/>
          <w:lang w:val="cs-CZ" w:eastAsia="cs-CZ"/>
        </w:rPr>
        <w:drawing>
          <wp:inline distT="0" distB="0" distL="0" distR="0" wp14:anchorId="00B44B04" wp14:editId="18EC9B1E">
            <wp:extent cx="5623560" cy="2743200"/>
            <wp:effectExtent l="0" t="0" r="1524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3768C1" w14:textId="77777777" w:rsidR="001A05B3" w:rsidRPr="00284463" w:rsidRDefault="001A05B3" w:rsidP="001A05B3">
      <w:pPr>
        <w:jc w:val="both"/>
        <w:rPr>
          <w:bCs/>
          <w:lang w:val="cs-CZ"/>
        </w:rPr>
      </w:pPr>
    </w:p>
    <w:p w14:paraId="29BA8A0F" w14:textId="77777777" w:rsidR="001A05B3" w:rsidRPr="00284463" w:rsidRDefault="001A05B3" w:rsidP="001A05B3">
      <w:pPr>
        <w:jc w:val="center"/>
        <w:rPr>
          <w:bCs/>
          <w:lang w:val="cs-CZ"/>
        </w:rPr>
      </w:pPr>
      <w:r w:rsidRPr="00284463">
        <w:rPr>
          <w:noProof/>
          <w:lang w:val="cs-CZ" w:eastAsia="cs-CZ"/>
        </w:rPr>
        <w:drawing>
          <wp:inline distT="0" distB="0" distL="0" distR="0" wp14:anchorId="085A4E31" wp14:editId="153B30E0">
            <wp:extent cx="4914900" cy="27432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4F2209" w14:textId="77777777" w:rsidR="001A05B3" w:rsidRPr="00284463" w:rsidRDefault="001A05B3" w:rsidP="001A05B3">
      <w:pPr>
        <w:jc w:val="center"/>
        <w:rPr>
          <w:bCs/>
          <w:lang w:val="cs-CZ"/>
        </w:rPr>
      </w:pPr>
    </w:p>
    <w:p w14:paraId="6E57CACF" w14:textId="77777777" w:rsidR="00293B9D" w:rsidRPr="00284463" w:rsidRDefault="00293B9D" w:rsidP="001A05B3">
      <w:pPr>
        <w:rPr>
          <w:b/>
          <w:bCs/>
          <w:i/>
          <w:lang w:val="cs-CZ"/>
        </w:rPr>
      </w:pPr>
    </w:p>
    <w:p w14:paraId="3F092AE3" w14:textId="77777777" w:rsidR="00293B9D" w:rsidRPr="00284463" w:rsidRDefault="00293B9D" w:rsidP="001A05B3">
      <w:pPr>
        <w:rPr>
          <w:b/>
          <w:bCs/>
          <w:i/>
          <w:lang w:val="cs-CZ"/>
        </w:rPr>
      </w:pPr>
    </w:p>
    <w:p w14:paraId="33F98981" w14:textId="77777777" w:rsidR="00293B9D" w:rsidRPr="00284463" w:rsidRDefault="00293B9D" w:rsidP="001A05B3">
      <w:pPr>
        <w:rPr>
          <w:b/>
          <w:bCs/>
          <w:i/>
          <w:lang w:val="cs-CZ"/>
        </w:rPr>
      </w:pPr>
    </w:p>
    <w:p w14:paraId="6BCC1AD6" w14:textId="77777777" w:rsidR="00293B9D" w:rsidRPr="00284463" w:rsidRDefault="00293B9D" w:rsidP="001A05B3">
      <w:pPr>
        <w:rPr>
          <w:b/>
          <w:bCs/>
          <w:i/>
          <w:lang w:val="cs-CZ"/>
        </w:rPr>
      </w:pPr>
    </w:p>
    <w:p w14:paraId="360AF3CC" w14:textId="77777777" w:rsidR="00293B9D" w:rsidRPr="00284463" w:rsidRDefault="00293B9D" w:rsidP="001A05B3">
      <w:pPr>
        <w:rPr>
          <w:b/>
          <w:bCs/>
          <w:i/>
          <w:lang w:val="cs-CZ"/>
        </w:rPr>
      </w:pPr>
    </w:p>
    <w:p w14:paraId="323A2BE7" w14:textId="77777777" w:rsidR="00293B9D" w:rsidRPr="00284463" w:rsidRDefault="00293B9D" w:rsidP="001A05B3">
      <w:pPr>
        <w:rPr>
          <w:b/>
          <w:bCs/>
          <w:i/>
          <w:lang w:val="cs-CZ"/>
        </w:rPr>
      </w:pPr>
    </w:p>
    <w:p w14:paraId="7A646F47" w14:textId="77777777" w:rsidR="00293B9D" w:rsidRPr="00284463" w:rsidRDefault="00293B9D" w:rsidP="001A05B3">
      <w:pPr>
        <w:rPr>
          <w:b/>
          <w:bCs/>
          <w:i/>
          <w:lang w:val="cs-CZ"/>
        </w:rPr>
      </w:pPr>
    </w:p>
    <w:p w14:paraId="1277BDBD" w14:textId="77777777" w:rsidR="00293B9D" w:rsidRPr="00284463" w:rsidRDefault="00293B9D" w:rsidP="001A05B3">
      <w:pPr>
        <w:rPr>
          <w:b/>
          <w:bCs/>
          <w:i/>
          <w:lang w:val="cs-CZ"/>
        </w:rPr>
      </w:pPr>
    </w:p>
    <w:p w14:paraId="69F6C4D9" w14:textId="77777777" w:rsidR="00293B9D" w:rsidRPr="00284463" w:rsidRDefault="00293B9D" w:rsidP="001A05B3">
      <w:pPr>
        <w:rPr>
          <w:b/>
          <w:bCs/>
          <w:i/>
          <w:lang w:val="cs-CZ"/>
        </w:rPr>
      </w:pPr>
    </w:p>
    <w:p w14:paraId="2D7DE14B" w14:textId="699ED4BB" w:rsidR="001A05B3" w:rsidRPr="00284463" w:rsidRDefault="00293B9D" w:rsidP="001A05B3">
      <w:pPr>
        <w:rPr>
          <w:b/>
          <w:bCs/>
          <w:i/>
          <w:lang w:val="cs-CZ"/>
        </w:rPr>
      </w:pPr>
      <w:r w:rsidRPr="00284463">
        <w:rPr>
          <w:b/>
          <w:bCs/>
          <w:i/>
          <w:lang w:val="cs-CZ"/>
        </w:rPr>
        <w:t>Úspěšnost žen v rámci náboru</w:t>
      </w:r>
    </w:p>
    <w:p w14:paraId="5138BC72" w14:textId="77777777" w:rsidR="001A05B3" w:rsidRPr="00284463" w:rsidRDefault="001A05B3" w:rsidP="001A05B3">
      <w:pPr>
        <w:rPr>
          <w:bCs/>
          <w:lang w:val="cs-CZ"/>
        </w:rPr>
      </w:pPr>
    </w:p>
    <w:p w14:paraId="08A23A78" w14:textId="77777777" w:rsidR="001A05B3" w:rsidRPr="00284463" w:rsidRDefault="001A05B3" w:rsidP="001A05B3">
      <w:pPr>
        <w:jc w:val="center"/>
        <w:rPr>
          <w:bCs/>
          <w:lang w:val="cs-CZ"/>
        </w:rPr>
      </w:pPr>
      <w:r w:rsidRPr="00284463">
        <w:rPr>
          <w:noProof/>
          <w:color w:val="C5E0B3" w:themeColor="accent6" w:themeTint="66"/>
          <w:lang w:val="cs-CZ" w:eastAsia="cs-CZ"/>
        </w:rPr>
        <w:drawing>
          <wp:inline distT="0" distB="0" distL="0" distR="0" wp14:anchorId="5A2F237D" wp14:editId="73D92682">
            <wp:extent cx="3878580" cy="2560320"/>
            <wp:effectExtent l="38100" t="57150" r="45720" b="4953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A9CFAE" w14:textId="77777777" w:rsidR="001A05B3" w:rsidRPr="00284463" w:rsidRDefault="001A05B3" w:rsidP="001A05B3">
      <w:pPr>
        <w:jc w:val="both"/>
        <w:rPr>
          <w:lang w:val="cs-CZ"/>
        </w:rPr>
      </w:pPr>
    </w:p>
    <w:p w14:paraId="7FE6D9F8" w14:textId="77777777" w:rsidR="00293B9D" w:rsidRPr="00284463" w:rsidRDefault="00293B9D" w:rsidP="00293B9D">
      <w:pPr>
        <w:jc w:val="center"/>
        <w:rPr>
          <w:lang w:val="cs-CZ"/>
        </w:rPr>
      </w:pPr>
    </w:p>
    <w:p w14:paraId="34D6912E" w14:textId="77777777" w:rsidR="00293B9D" w:rsidRPr="00284463" w:rsidRDefault="00293B9D" w:rsidP="00293B9D">
      <w:pPr>
        <w:jc w:val="center"/>
        <w:rPr>
          <w:lang w:val="cs-CZ"/>
        </w:rPr>
      </w:pPr>
    </w:p>
    <w:p w14:paraId="0205E6D0" w14:textId="77777777" w:rsidR="00293B9D" w:rsidRPr="00284463" w:rsidRDefault="00293B9D" w:rsidP="00293B9D">
      <w:pPr>
        <w:jc w:val="center"/>
        <w:rPr>
          <w:lang w:val="cs-CZ"/>
        </w:rPr>
      </w:pPr>
    </w:p>
    <w:p w14:paraId="4709C3A9" w14:textId="77777777" w:rsidR="00293B9D" w:rsidRPr="00284463" w:rsidRDefault="00293B9D" w:rsidP="00293B9D">
      <w:pPr>
        <w:jc w:val="center"/>
        <w:rPr>
          <w:lang w:val="cs-CZ"/>
        </w:rPr>
      </w:pPr>
    </w:p>
    <w:p w14:paraId="5F22EDE2" w14:textId="77777777" w:rsidR="00293B9D" w:rsidRPr="00284463" w:rsidRDefault="00293B9D" w:rsidP="00293B9D">
      <w:pPr>
        <w:rPr>
          <w:lang w:val="cs-CZ"/>
        </w:rPr>
      </w:pPr>
    </w:p>
    <w:p w14:paraId="48419048" w14:textId="77777777" w:rsidR="00293B9D" w:rsidRPr="00284463" w:rsidRDefault="00293B9D" w:rsidP="00293B9D">
      <w:pPr>
        <w:rPr>
          <w:lang w:val="cs-CZ"/>
        </w:rPr>
      </w:pPr>
    </w:p>
    <w:p w14:paraId="37C43C59" w14:textId="7D4C0306" w:rsidR="00293B9D" w:rsidRPr="00284463" w:rsidRDefault="00293B9D" w:rsidP="00293B9D">
      <w:pPr>
        <w:rPr>
          <w:b/>
          <w:i/>
          <w:lang w:val="cs-CZ"/>
        </w:rPr>
      </w:pPr>
      <w:r w:rsidRPr="00284463">
        <w:rPr>
          <w:b/>
          <w:i/>
          <w:lang w:val="cs-CZ"/>
        </w:rPr>
        <w:t>P</w:t>
      </w:r>
      <w:r w:rsidR="001A05B3" w:rsidRPr="00284463">
        <w:rPr>
          <w:b/>
          <w:i/>
          <w:lang w:val="cs-CZ"/>
        </w:rPr>
        <w:t>očty žen a mužů přijatých do AČR od roku 2010</w:t>
      </w:r>
      <w:r w:rsidRPr="00284463">
        <w:rPr>
          <w:b/>
          <w:i/>
          <w:lang w:val="cs-CZ"/>
        </w:rPr>
        <w:t xml:space="preserve"> (vybrané roky)</w:t>
      </w:r>
    </w:p>
    <w:p w14:paraId="681CEF38" w14:textId="77777777" w:rsidR="00293B9D" w:rsidRPr="00284463" w:rsidRDefault="00293B9D" w:rsidP="00293B9D">
      <w:pPr>
        <w:rPr>
          <w:lang w:val="cs-CZ"/>
        </w:rPr>
      </w:pPr>
    </w:p>
    <w:p w14:paraId="0F4B287F" w14:textId="02E8CB19" w:rsidR="001A05B3" w:rsidRPr="00284463" w:rsidRDefault="001A05B3" w:rsidP="00293B9D">
      <w:pPr>
        <w:jc w:val="center"/>
        <w:rPr>
          <w:lang w:val="cs-CZ"/>
        </w:rPr>
      </w:pPr>
      <w:r w:rsidRPr="00284463">
        <w:rPr>
          <w:noProof/>
          <w:lang w:val="cs-CZ" w:eastAsia="cs-CZ"/>
        </w:rPr>
        <w:drawing>
          <wp:inline distT="0" distB="0" distL="0" distR="0" wp14:anchorId="62E6A296" wp14:editId="6CA74F0C">
            <wp:extent cx="4572000" cy="2743200"/>
            <wp:effectExtent l="0" t="0" r="1905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5D396C" w14:textId="77777777" w:rsidR="001A05B3" w:rsidRPr="00284463" w:rsidRDefault="001A05B3" w:rsidP="001A05B3">
      <w:pPr>
        <w:jc w:val="both"/>
        <w:rPr>
          <w:lang w:val="cs-CZ"/>
        </w:rPr>
      </w:pPr>
    </w:p>
    <w:p w14:paraId="0070C14D" w14:textId="77777777" w:rsidR="001A05B3" w:rsidRPr="00284463" w:rsidRDefault="001A05B3" w:rsidP="001A05B3">
      <w:pPr>
        <w:jc w:val="both"/>
        <w:rPr>
          <w:lang w:val="cs-CZ"/>
        </w:rPr>
      </w:pPr>
      <w:r w:rsidRPr="00284463">
        <w:rPr>
          <w:lang w:val="cs-CZ"/>
        </w:rPr>
        <w:t xml:space="preserve">Při náboru žen a mužů do AČR je uplatňován rovný přístup ke všem uchazečům/uchazečkám, pokud splní všechny zákonné podmínky povolání do služebního poměru </w:t>
      </w:r>
      <w:r w:rsidRPr="00284463">
        <w:rPr>
          <w:lang w:val="cs-CZ"/>
        </w:rPr>
        <w:lastRenderedPageBreak/>
        <w:t xml:space="preserve">(je občanem/občankou České republiky straší 18 let, složil/a vojenskou přísahu, vykonal/a základní nebo náhradní vojenskou službu, není ke dni povolání do služebního poměru členem/členkou politické strany, politického hnutí a odborové organizace, je trestně bezúhonný/á, je zdravotně způsobilý/á k výkonu služby, splňuje kvalifikační předpoklady stanovené pro služební zařazení). </w:t>
      </w:r>
    </w:p>
    <w:p w14:paraId="5012CD89" w14:textId="7235641D" w:rsidR="001A05B3" w:rsidRPr="00284463" w:rsidRDefault="001A05B3" w:rsidP="00AE4245">
      <w:pPr>
        <w:spacing w:after="120" w:line="276" w:lineRule="auto"/>
        <w:jc w:val="both"/>
        <w:rPr>
          <w:b/>
          <w:u w:val="single"/>
          <w:lang w:val="cs-CZ"/>
        </w:rPr>
      </w:pPr>
    </w:p>
    <w:p w14:paraId="46AAB106" w14:textId="35D2305C" w:rsidR="005B3BDD" w:rsidRPr="00284463" w:rsidRDefault="00293B9D" w:rsidP="005B3BDD">
      <w:pPr>
        <w:pStyle w:val="Odstavecseseznamem"/>
        <w:numPr>
          <w:ilvl w:val="0"/>
          <w:numId w:val="26"/>
        </w:numPr>
        <w:spacing w:after="120"/>
        <w:jc w:val="both"/>
        <w:rPr>
          <w:b/>
          <w:color w:val="000000"/>
          <w:u w:val="single"/>
          <w:lang w:val="cs-CZ"/>
        </w:rPr>
      </w:pPr>
      <w:r w:rsidRPr="00284463">
        <w:rPr>
          <w:b/>
          <w:color w:val="000000"/>
          <w:u w:val="single"/>
          <w:lang w:val="cs-CZ"/>
        </w:rPr>
        <w:t xml:space="preserve">Zastoupení žen </w:t>
      </w:r>
      <w:r w:rsidR="005B3BDD" w:rsidRPr="00284463">
        <w:rPr>
          <w:b/>
          <w:color w:val="000000"/>
          <w:u w:val="single"/>
          <w:lang w:val="cs-CZ"/>
        </w:rPr>
        <w:t>u Policie ČR</w:t>
      </w:r>
    </w:p>
    <w:p w14:paraId="5B961AE7" w14:textId="77777777" w:rsidR="00A808A0" w:rsidRPr="00284463" w:rsidRDefault="00A808A0" w:rsidP="00A808A0">
      <w:pPr>
        <w:pStyle w:val="Odstavecseseznamem"/>
        <w:spacing w:after="120"/>
        <w:ind w:left="1080"/>
        <w:jc w:val="both"/>
        <w:rPr>
          <w:b/>
          <w:color w:val="000000"/>
          <w:u w:val="single"/>
          <w:lang w:val="cs-CZ"/>
        </w:rPr>
      </w:pPr>
    </w:p>
    <w:p w14:paraId="5F0DF3A3" w14:textId="79EB1CE7" w:rsidR="001A05B3" w:rsidRPr="00284463" w:rsidRDefault="001A05B3" w:rsidP="001A05B3">
      <w:pPr>
        <w:spacing w:after="120"/>
        <w:jc w:val="both"/>
        <w:rPr>
          <w:color w:val="000000"/>
          <w:lang w:val="cs-CZ"/>
        </w:rPr>
      </w:pPr>
      <w:r w:rsidRPr="00284463">
        <w:rPr>
          <w:color w:val="000000"/>
          <w:lang w:val="cs-CZ"/>
        </w:rPr>
        <w:t xml:space="preserve">Obdobně jako v roce 2019 byla i v roce 2020 veškerá výběrová řízení realizovaná </w:t>
      </w:r>
      <w:r w:rsidRPr="00284463">
        <w:rPr>
          <w:b/>
          <w:color w:val="000000"/>
          <w:lang w:val="cs-CZ"/>
        </w:rPr>
        <w:t>Policií ČR</w:t>
      </w:r>
      <w:r w:rsidRPr="00284463">
        <w:rPr>
          <w:color w:val="000000"/>
          <w:lang w:val="cs-CZ"/>
        </w:rPr>
        <w:t xml:space="preserve"> zveřejňovaná v dostatečném předstihu, s transparentně vyjádřenými výběrovými kritérii a požadavky, a to včetně všech výběrových řízení na vedoucí pozice, a to jak v intranetovém prostředí, tak na otevřených pracovních webech. V rámci pracovní inzerce je důsledně dbáno na využívání genderově korektního jazyka. Při sestavování výběrových komisí je kladen důraz na vyrovnané zastoupení žen a mužů všude tam, kde lze požadavek vyrovnaného zastoupení naplnit bez současného dopadu na potřebu specifického odborného zaměření členů a členek výběrové komise. V rámci přijímacího řízení k Policii ČR mají všichni uchazeči a uchazečky stejné podmínky k přijetí do služebního i pracovního poměru v případě, že splní vstupní požadovaná kritéria.</w:t>
      </w:r>
    </w:p>
    <w:p w14:paraId="3548A4D5" w14:textId="2063623A" w:rsidR="001A05B3" w:rsidRPr="00284463" w:rsidRDefault="001A05B3" w:rsidP="001A05B3">
      <w:pPr>
        <w:spacing w:after="120"/>
        <w:jc w:val="both"/>
        <w:rPr>
          <w:color w:val="000000"/>
          <w:lang w:val="cs-CZ"/>
        </w:rPr>
      </w:pPr>
      <w:r w:rsidRPr="00284463">
        <w:rPr>
          <w:color w:val="000000"/>
          <w:lang w:val="cs-CZ"/>
        </w:rPr>
        <w:t xml:space="preserve">Policie ČR vykazuje určitá specifika daná povahou bezpečnostního sboru, která jsou patrná již v procesu přijímání do služebního poměru. Podmínky přijetí do služebního poměru jsou přesně stanoveny v zákoně č. 361/2003 Sb., o služebním poměru příslušníků bezpečnostních sborů, přičemž tato </w:t>
      </w:r>
      <w:r w:rsidRPr="00284463">
        <w:rPr>
          <w:b/>
          <w:color w:val="000000"/>
          <w:lang w:val="cs-CZ"/>
        </w:rPr>
        <w:t>kritéria jsou stejná jak pro muže, tak pro ženy</w:t>
      </w:r>
      <w:r w:rsidRPr="00284463">
        <w:rPr>
          <w:color w:val="000000"/>
          <w:lang w:val="cs-CZ"/>
        </w:rPr>
        <w:t xml:space="preserve"> (§ 16 odst. 4 zák. č. 361/2003 Sb.). Zvýšení počtu žen v bezpečnostních složkách (zejm. v Policii ČR) je tedy třeba podporovat jiným způsobem, než v rámci postupu dle zákona č. 361/2003 Sb., o služebním poměru příslušníků bezpečnostních sborů (který vychází ze striktního požadavku rovného přístupu k ženám i mužům); stěžejní jsou v tomto případě aktivity, které potenciálnímu výběru uchazečů a uchazeček předcházejí – tedy podpor</w:t>
      </w:r>
      <w:r w:rsidR="00FB5D9A" w:rsidRPr="00284463">
        <w:rPr>
          <w:color w:val="000000"/>
          <w:lang w:val="cs-CZ"/>
        </w:rPr>
        <w:t>a</w:t>
      </w:r>
      <w:r w:rsidRPr="00284463">
        <w:rPr>
          <w:color w:val="000000"/>
          <w:lang w:val="cs-CZ"/>
        </w:rPr>
        <w:t xml:space="preserve"> zvýšení zájmu žen o vstup do Policie ČR</w:t>
      </w:r>
      <w:r w:rsidR="00FB5D9A" w:rsidRPr="00284463">
        <w:rPr>
          <w:color w:val="000000"/>
          <w:lang w:val="cs-CZ"/>
        </w:rPr>
        <w:t xml:space="preserve"> realizovaná</w:t>
      </w:r>
      <w:r w:rsidRPr="00284463">
        <w:rPr>
          <w:color w:val="000000"/>
          <w:lang w:val="cs-CZ"/>
        </w:rPr>
        <w:t xml:space="preserve"> nejen formou osvěty, ale též dalšími systémovými opatřeními, díky nimž budou potenciální uchazečky vnímat službu v bezpečnostních sborech jako žádoucí způsob profesního uplatnění. V této souvislosti lze zmínit například skutečnost, že v rámci Policie ČR je u těch útvarů, kde to výkon služby umožňuje, zavedena pružná pracovní doba, což usnadňuje sladění pracovního a osobního života. Významným krokem na organizační rovině, který učinilo vedení Policie ČR a který současně přispěje k plnění úkolů též v oblasti agendy WPS, je</w:t>
      </w:r>
      <w:r w:rsidRPr="00284463">
        <w:rPr>
          <w:b/>
          <w:color w:val="000000"/>
          <w:lang w:val="cs-CZ"/>
        </w:rPr>
        <w:t xml:space="preserve"> vznik oddělení náboru a personální stabilizace při personálním odboru Policejního prezidia ČR, k němuž došlo v roce 2020. Úkolem tohoto oddělení bude mj. navrhovat a realizovat další nástroje ke slaďování rodinného a osobního života s výkonem služby příslušnic a příslušníků Policie ČR a s výkonem pracovní činnosti u občanských zaměstnanců a zaměstnankyň Policie ČR</w:t>
      </w:r>
      <w:r w:rsidRPr="00284463">
        <w:rPr>
          <w:color w:val="000000"/>
          <w:lang w:val="cs-CZ"/>
        </w:rPr>
        <w:t xml:space="preserve"> a tím přispívat k jejich stabilizaci. Realizac</w:t>
      </w:r>
      <w:r w:rsidR="00701CA4" w:rsidRPr="00284463">
        <w:rPr>
          <w:color w:val="000000"/>
          <w:lang w:val="cs-CZ"/>
        </w:rPr>
        <w:t>i</w:t>
      </w:r>
      <w:r w:rsidRPr="00284463">
        <w:rPr>
          <w:color w:val="000000"/>
          <w:lang w:val="cs-CZ"/>
        </w:rPr>
        <w:t xml:space="preserve"> doprovodných aktivit, jako je např. mapování možného zavedení firemních školek při Polici ČR, zlepšování pracovního prostředí na služebnách atd. však v roce 2020 negativně poznamenaly dopady pandemie Covid-19.</w:t>
      </w:r>
    </w:p>
    <w:p w14:paraId="3EE85971" w14:textId="53B4BB21" w:rsidR="001A05B3" w:rsidRPr="00284463" w:rsidRDefault="001A05B3" w:rsidP="001A05B3">
      <w:pPr>
        <w:spacing w:after="120"/>
        <w:jc w:val="both"/>
        <w:rPr>
          <w:color w:val="000000"/>
          <w:lang w:val="cs-CZ"/>
        </w:rPr>
      </w:pPr>
      <w:r w:rsidRPr="00284463">
        <w:rPr>
          <w:color w:val="000000"/>
          <w:lang w:val="cs-CZ"/>
        </w:rPr>
        <w:t>Policie ČR nadále důsledně eviduje statistické údaje v personální oblasti, mj. o počtu přijatých uchazečů a uchazeček v rámci všech útvarů Policie ČR, a to nejen z hlediska obsazenosti přidělených služebních a pracovních míst, ale též z hlediska věkového průměru organizačních článků a poměru zastávaných funkcí muži a ženami. Vedoucí útvarů Policie ČR průběžně hodnotí podíl mužů a žen na jimi řízených pracovištích a vzhledem k charakteru zajišťovaných úkonů kladou důraz na doplňování neobsazených tabulkových míst podle potřeby muži či ženami.</w:t>
      </w:r>
    </w:p>
    <w:p w14:paraId="25B71638" w14:textId="77777777" w:rsidR="00921096" w:rsidRPr="00284463" w:rsidRDefault="00921096" w:rsidP="0094663D">
      <w:pPr>
        <w:snapToGrid w:val="0"/>
        <w:spacing w:after="120" w:line="276" w:lineRule="auto"/>
        <w:jc w:val="both"/>
        <w:rPr>
          <w:lang w:val="cs-CZ"/>
        </w:rPr>
      </w:pPr>
    </w:p>
    <w:p w14:paraId="7F25D84A" w14:textId="77777777" w:rsidR="00EF240C" w:rsidRPr="00284463" w:rsidRDefault="00EF240C" w:rsidP="00057D32">
      <w:pPr>
        <w:pStyle w:val="Nadpis2"/>
        <w:pBdr>
          <w:bottom w:val="single" w:sz="4" w:space="1" w:color="4F81BD"/>
        </w:pBdr>
        <w:rPr>
          <w:rFonts w:ascii="Times New Roman" w:hAnsi="Times New Roman"/>
          <w:i w:val="0"/>
          <w:color w:val="2F5496" w:themeColor="accent1" w:themeShade="BF"/>
          <w:lang w:val="cs-CZ"/>
        </w:rPr>
      </w:pPr>
      <w:bookmarkStart w:id="9" w:name="_Toc39673329"/>
      <w:r w:rsidRPr="00284463">
        <w:rPr>
          <w:rFonts w:ascii="Times New Roman" w:hAnsi="Times New Roman"/>
          <w:i w:val="0"/>
          <w:color w:val="2F5496" w:themeColor="accent1" w:themeShade="BF"/>
          <w:lang w:val="cs-CZ"/>
        </w:rPr>
        <w:t>Úkol č. 4</w:t>
      </w:r>
      <w:bookmarkEnd w:id="9"/>
    </w:p>
    <w:p w14:paraId="69E78D22" w14:textId="77777777" w:rsidR="00EF240C" w:rsidRPr="00284463" w:rsidRDefault="00BB40FD" w:rsidP="00850AAF">
      <w:pPr>
        <w:snapToGrid w:val="0"/>
        <w:spacing w:after="120" w:line="276" w:lineRule="auto"/>
        <w:jc w:val="both"/>
        <w:rPr>
          <w:b/>
          <w:lang w:val="cs-CZ"/>
        </w:rPr>
      </w:pPr>
      <w:r w:rsidRPr="00284463">
        <w:rPr>
          <w:b/>
          <w:lang w:val="cs-CZ"/>
        </w:rPr>
        <w:t xml:space="preserve">Obecný cíl: </w:t>
      </w:r>
      <w:r w:rsidR="00EF240C" w:rsidRPr="00284463">
        <w:rPr>
          <w:b/>
          <w:lang w:val="cs-CZ"/>
        </w:rPr>
        <w:t>Podporovat vstup dívek a žen do vojenských a policejních středních, vyšších odborných a vysokých škol</w:t>
      </w:r>
    </w:p>
    <w:p w14:paraId="731E5419" w14:textId="77777777" w:rsidR="00EF240C" w:rsidRPr="00284463" w:rsidRDefault="00EF240C" w:rsidP="00850AAF">
      <w:pPr>
        <w:snapToGrid w:val="0"/>
        <w:spacing w:after="120" w:line="276" w:lineRule="auto"/>
        <w:jc w:val="both"/>
        <w:rPr>
          <w:lang w:val="cs-CZ"/>
        </w:rPr>
      </w:pPr>
      <w:r w:rsidRPr="00284463">
        <w:rPr>
          <w:lang w:val="cs-CZ"/>
        </w:rPr>
        <w:t>Úkoly:</w:t>
      </w:r>
    </w:p>
    <w:p w14:paraId="6D8D41DC" w14:textId="77777777" w:rsidR="00EF240C" w:rsidRPr="00284463" w:rsidRDefault="00EF240C" w:rsidP="00850AAF">
      <w:pPr>
        <w:numPr>
          <w:ilvl w:val="0"/>
          <w:numId w:val="4"/>
        </w:numPr>
        <w:snapToGrid w:val="0"/>
        <w:spacing w:after="120" w:line="276" w:lineRule="auto"/>
        <w:jc w:val="both"/>
        <w:rPr>
          <w:lang w:val="cs-CZ"/>
        </w:rPr>
      </w:pPr>
      <w:r w:rsidRPr="00284463">
        <w:rPr>
          <w:lang w:val="cs-CZ"/>
        </w:rPr>
        <w:t>Informovat veřejnost o možnosti studia žen a dívek na vojenských a policejních středních, vyšších odborných a vysokých školách bez upřednostňování jednoho z</w:t>
      </w:r>
      <w:r w:rsidR="00065883" w:rsidRPr="00284463">
        <w:rPr>
          <w:lang w:val="cs-CZ"/>
        </w:rPr>
        <w:t> </w:t>
      </w:r>
      <w:r w:rsidRPr="00284463">
        <w:rPr>
          <w:lang w:val="cs-CZ"/>
        </w:rPr>
        <w:t>pohlaví</w:t>
      </w:r>
      <w:r w:rsidR="00065883" w:rsidRPr="00284463">
        <w:rPr>
          <w:lang w:val="cs-CZ"/>
        </w:rPr>
        <w:t>;</w:t>
      </w:r>
    </w:p>
    <w:p w14:paraId="5F247BA6" w14:textId="2811E269" w:rsidR="00EF240C" w:rsidRPr="00284463" w:rsidRDefault="00EF240C" w:rsidP="00850AAF">
      <w:pPr>
        <w:numPr>
          <w:ilvl w:val="0"/>
          <w:numId w:val="4"/>
        </w:numPr>
        <w:snapToGrid w:val="0"/>
        <w:spacing w:after="120" w:line="276" w:lineRule="auto"/>
        <w:jc w:val="both"/>
        <w:rPr>
          <w:lang w:val="cs-CZ"/>
        </w:rPr>
      </w:pPr>
      <w:r w:rsidRPr="00284463">
        <w:rPr>
          <w:lang w:val="cs-CZ"/>
        </w:rPr>
        <w:t>Trvale sledovat podíl studujících žen a mužů, úspěšnost žen a mužů v rámci přijímacího řízení, podíl studujících žen na jednotlivých vojenských fakultách</w:t>
      </w:r>
      <w:r w:rsidR="00065883" w:rsidRPr="00284463">
        <w:rPr>
          <w:lang w:val="cs-CZ"/>
        </w:rPr>
        <w:t>.</w:t>
      </w:r>
    </w:p>
    <w:p w14:paraId="5127AEB6" w14:textId="77777777" w:rsidR="005B3BDD" w:rsidRPr="00284463" w:rsidRDefault="005B3BDD" w:rsidP="005B3BDD">
      <w:pPr>
        <w:snapToGrid w:val="0"/>
        <w:spacing w:after="120" w:line="276" w:lineRule="auto"/>
        <w:ind w:left="720"/>
        <w:jc w:val="both"/>
        <w:rPr>
          <w:lang w:val="cs-CZ"/>
        </w:rPr>
      </w:pPr>
    </w:p>
    <w:p w14:paraId="1F0688D7" w14:textId="26FEA35B" w:rsidR="001A05B3" w:rsidRPr="00284463" w:rsidRDefault="001A05B3" w:rsidP="00850AAF">
      <w:pPr>
        <w:pStyle w:val="Odstavecseseznamem"/>
        <w:numPr>
          <w:ilvl w:val="0"/>
          <w:numId w:val="27"/>
        </w:numPr>
        <w:spacing w:before="120"/>
        <w:jc w:val="both"/>
        <w:rPr>
          <w:b/>
          <w:u w:val="single"/>
          <w:lang w:val="cs-CZ"/>
        </w:rPr>
      </w:pPr>
      <w:r w:rsidRPr="00284463">
        <w:rPr>
          <w:b/>
          <w:u w:val="single"/>
          <w:lang w:val="cs-CZ"/>
        </w:rPr>
        <w:t>Vzdělávání v kompetenci MO</w:t>
      </w:r>
    </w:p>
    <w:p w14:paraId="11CD982D" w14:textId="77777777" w:rsidR="00A808A0" w:rsidRPr="00284463" w:rsidRDefault="00A808A0" w:rsidP="00850AAF">
      <w:pPr>
        <w:pStyle w:val="Odstavecseseznamem"/>
        <w:spacing w:before="120"/>
        <w:ind w:left="1080"/>
        <w:jc w:val="both"/>
        <w:rPr>
          <w:b/>
          <w:u w:val="single"/>
          <w:lang w:val="cs-CZ"/>
        </w:rPr>
      </w:pPr>
    </w:p>
    <w:p w14:paraId="78DB8128" w14:textId="2ABFE6D0" w:rsidR="001A05B3" w:rsidRPr="00284463" w:rsidRDefault="001A05B3" w:rsidP="00850AAF">
      <w:pPr>
        <w:spacing w:before="120"/>
        <w:jc w:val="both"/>
        <w:rPr>
          <w:lang w:val="cs-CZ"/>
        </w:rPr>
      </w:pPr>
      <w:r w:rsidRPr="00284463">
        <w:rPr>
          <w:lang w:val="cs-CZ"/>
        </w:rPr>
        <w:t xml:space="preserve">Univerzita obrany v Brně (UO) se v rámci marketingové politiky trvale soustřeďuje na propagaci příležitostí žen studovat ve všech studijních oborech, které vojenská vysoká škola nabízí. K tomu dlouhodobě využívá řadu marketingových aktivit. V roce 2020 byla ovšem realizace fyzických forem marketingových aktivit omezena z důvodů dlouhodobě trvající pandemie covid-19.  Univerzita musela realizovat marketingové aktivity především v on-line formě. </w:t>
      </w:r>
    </w:p>
    <w:p w14:paraId="17F6C15D" w14:textId="77777777" w:rsidR="001A05B3" w:rsidRPr="00284463" w:rsidRDefault="001A05B3" w:rsidP="00850AAF">
      <w:pPr>
        <w:spacing w:before="120"/>
        <w:jc w:val="both"/>
        <w:rPr>
          <w:lang w:val="cs-CZ"/>
        </w:rPr>
      </w:pPr>
      <w:r w:rsidRPr="00284463">
        <w:rPr>
          <w:lang w:val="cs-CZ"/>
        </w:rPr>
        <w:t xml:space="preserve">Fyzické akce na veřejnosti probíhaly formou marketingových prezentací na středních školách (25x), dále pak v rámci Dnů otevřených dveří Fakulty vojenského leadersihpu a Fakulty vojenských technologií, v rámci prezentace UO na Veletrhu pomaturitního vzdělávání Gaudeamus Praha 2020, prezentace UO na Winter Survival 2020, veletrhu vysokoškolského vzdělávání Sokrates a v rámci prezentace UO na akci Festival vědy Brno 2020.  </w:t>
      </w:r>
    </w:p>
    <w:p w14:paraId="7064BA90" w14:textId="77777777" w:rsidR="001A05B3" w:rsidRPr="00284463" w:rsidRDefault="001A05B3" w:rsidP="00850AAF">
      <w:pPr>
        <w:shd w:val="clear" w:color="auto" w:fill="FFFFFF"/>
        <w:jc w:val="both"/>
        <w:rPr>
          <w:b/>
          <w:lang w:val="cs-CZ"/>
        </w:rPr>
      </w:pPr>
      <w:r w:rsidRPr="00284463">
        <w:rPr>
          <w:lang w:val="cs-CZ"/>
        </w:rPr>
        <w:t xml:space="preserve">Univerzita obrany komunikovala on-line na následujících platformách: </w:t>
      </w:r>
    </w:p>
    <w:p w14:paraId="635625D7" w14:textId="77777777" w:rsidR="001A05B3" w:rsidRPr="00284463" w:rsidRDefault="001A05B3" w:rsidP="00850AAF">
      <w:pPr>
        <w:pStyle w:val="Odstavecseseznamem"/>
        <w:numPr>
          <w:ilvl w:val="0"/>
          <w:numId w:val="22"/>
        </w:numPr>
        <w:spacing w:after="200"/>
        <w:ind w:left="426" w:hanging="416"/>
        <w:jc w:val="both"/>
        <w:rPr>
          <w:lang w:val="cs-CZ"/>
        </w:rPr>
      </w:pPr>
      <w:r w:rsidRPr="00284463">
        <w:rPr>
          <w:lang w:val="cs-CZ"/>
        </w:rPr>
        <w:t>Instagram (180 příspěvků, 7 923 sledujících; UO je čtvrtou nejsledovanější vysokou školou v ČR)</w:t>
      </w:r>
    </w:p>
    <w:p w14:paraId="7AF688EF" w14:textId="77777777" w:rsidR="001A05B3" w:rsidRPr="00284463" w:rsidRDefault="001A05B3" w:rsidP="00850AAF">
      <w:pPr>
        <w:pStyle w:val="Odstavecseseznamem"/>
        <w:numPr>
          <w:ilvl w:val="0"/>
          <w:numId w:val="22"/>
        </w:numPr>
        <w:spacing w:after="200"/>
        <w:ind w:left="426" w:hanging="416"/>
        <w:jc w:val="both"/>
        <w:rPr>
          <w:lang w:val="cs-CZ"/>
        </w:rPr>
      </w:pPr>
      <w:r w:rsidRPr="00284463">
        <w:rPr>
          <w:lang w:val="cs-CZ"/>
        </w:rPr>
        <w:t>Facebook (280 příspěvků, 9 900 sledujících)</w:t>
      </w:r>
    </w:p>
    <w:p w14:paraId="2F0A1976" w14:textId="77777777" w:rsidR="00C121DA" w:rsidRPr="00284463" w:rsidRDefault="00057D32" w:rsidP="00057D32">
      <w:pPr>
        <w:pStyle w:val="Odstavecseseznamem"/>
        <w:numPr>
          <w:ilvl w:val="0"/>
          <w:numId w:val="22"/>
        </w:numPr>
        <w:spacing w:after="200"/>
        <w:ind w:left="425" w:hanging="414"/>
        <w:jc w:val="both"/>
        <w:rPr>
          <w:lang w:val="cs-CZ"/>
        </w:rPr>
      </w:pPr>
      <w:r w:rsidRPr="00284463">
        <w:rPr>
          <w:lang w:val="cs-CZ"/>
        </w:rPr>
        <w:t>Tw</w:t>
      </w:r>
      <w:r w:rsidR="001A05B3" w:rsidRPr="00284463">
        <w:rPr>
          <w:lang w:val="cs-CZ"/>
        </w:rPr>
        <w:t>itter (10 příspěvků)</w:t>
      </w:r>
      <w:r w:rsidR="00C121DA" w:rsidRPr="00284463">
        <w:rPr>
          <w:lang w:val="cs-CZ"/>
        </w:rPr>
        <w:t xml:space="preserve"> </w:t>
      </w:r>
    </w:p>
    <w:p w14:paraId="429D1E49" w14:textId="07F3CCF2" w:rsidR="001A05B3" w:rsidRPr="00284463" w:rsidRDefault="001A05B3" w:rsidP="00057D32">
      <w:pPr>
        <w:pStyle w:val="Odstavecseseznamem"/>
        <w:numPr>
          <w:ilvl w:val="0"/>
          <w:numId w:val="22"/>
        </w:numPr>
        <w:spacing w:after="200"/>
        <w:ind w:left="425" w:hanging="414"/>
        <w:jc w:val="both"/>
        <w:rPr>
          <w:lang w:val="cs-CZ"/>
        </w:rPr>
      </w:pPr>
      <w:r w:rsidRPr="00284463">
        <w:rPr>
          <w:lang w:val="cs-CZ"/>
        </w:rPr>
        <w:t>YouTube (42 vlastních videí)</w:t>
      </w:r>
    </w:p>
    <w:p w14:paraId="209FAA4B" w14:textId="77777777" w:rsidR="001A05B3" w:rsidRPr="00284463" w:rsidRDefault="001A05B3" w:rsidP="00850AAF">
      <w:pPr>
        <w:pStyle w:val="Odstavecseseznamem"/>
        <w:numPr>
          <w:ilvl w:val="0"/>
          <w:numId w:val="22"/>
        </w:numPr>
        <w:spacing w:after="200"/>
        <w:ind w:left="426" w:hanging="416"/>
        <w:jc w:val="both"/>
        <w:rPr>
          <w:lang w:val="cs-CZ"/>
        </w:rPr>
      </w:pPr>
      <w:r w:rsidRPr="00284463">
        <w:rPr>
          <w:lang w:val="cs-CZ"/>
        </w:rPr>
        <w:t>webové stránky UO www.unob.cz (117 příspěvků)</w:t>
      </w:r>
    </w:p>
    <w:p w14:paraId="2854B592" w14:textId="77777777" w:rsidR="001A05B3" w:rsidRPr="00284463" w:rsidRDefault="001A05B3" w:rsidP="00850AAF">
      <w:pPr>
        <w:pStyle w:val="Odstavecseseznamem"/>
        <w:numPr>
          <w:ilvl w:val="0"/>
          <w:numId w:val="22"/>
        </w:numPr>
        <w:spacing w:after="200"/>
        <w:ind w:left="426" w:hanging="416"/>
        <w:jc w:val="both"/>
        <w:rPr>
          <w:lang w:val="cs-CZ"/>
        </w:rPr>
      </w:pPr>
      <w:r w:rsidRPr="00284463">
        <w:rPr>
          <w:lang w:val="cs-CZ"/>
        </w:rPr>
        <w:t xml:space="preserve">projekt </w:t>
      </w:r>
      <w:hyperlink r:id="rId17" w:history="1">
        <w:r w:rsidRPr="00284463">
          <w:rPr>
            <w:lang w:val="cs-CZ"/>
          </w:rPr>
          <w:t>#</w:t>
        </w:r>
      </w:hyperlink>
      <w:r w:rsidRPr="00284463">
        <w:rPr>
          <w:lang w:val="cs-CZ"/>
        </w:rPr>
        <w:t xml:space="preserve">Jdunaunob </w:t>
      </w:r>
    </w:p>
    <w:p w14:paraId="54C66FF7" w14:textId="77777777" w:rsidR="001A05B3" w:rsidRPr="00284463" w:rsidRDefault="001A05B3" w:rsidP="00850AAF">
      <w:pPr>
        <w:pStyle w:val="Odstavecseseznamem"/>
        <w:numPr>
          <w:ilvl w:val="0"/>
          <w:numId w:val="22"/>
        </w:numPr>
        <w:spacing w:after="200"/>
        <w:ind w:left="426" w:hanging="416"/>
        <w:jc w:val="both"/>
        <w:rPr>
          <w:lang w:val="cs-CZ"/>
        </w:rPr>
      </w:pPr>
      <w:r w:rsidRPr="00284463">
        <w:rPr>
          <w:lang w:val="cs-CZ"/>
        </w:rPr>
        <w:t>časopis Listy Univerzity obrany (3 čísla)</w:t>
      </w:r>
    </w:p>
    <w:p w14:paraId="5BC22CF9" w14:textId="77777777" w:rsidR="001A05B3" w:rsidRPr="00284463" w:rsidRDefault="001A05B3" w:rsidP="00850AAF">
      <w:pPr>
        <w:pStyle w:val="Odstavecseseznamem"/>
        <w:numPr>
          <w:ilvl w:val="0"/>
          <w:numId w:val="22"/>
        </w:numPr>
        <w:spacing w:after="200"/>
        <w:ind w:left="426" w:hanging="416"/>
        <w:jc w:val="both"/>
        <w:rPr>
          <w:lang w:val="cs-CZ"/>
        </w:rPr>
      </w:pPr>
      <w:r w:rsidRPr="00284463">
        <w:rPr>
          <w:lang w:val="cs-CZ"/>
        </w:rPr>
        <w:t>aktivní mediální politika ve vztahu k médiím (255 mediálních vystoupení a citací o UO, z toho 59 v televizích a rádiích, 80 v tištených médiích a 116 na informačních serverech.</w:t>
      </w:r>
    </w:p>
    <w:p w14:paraId="434428EB" w14:textId="77777777" w:rsidR="001A05B3" w:rsidRPr="00284463" w:rsidRDefault="001A05B3" w:rsidP="001A05B3">
      <w:pPr>
        <w:ind w:left="1410" w:hanging="1410"/>
        <w:jc w:val="center"/>
        <w:rPr>
          <w:lang w:val="cs-CZ"/>
        </w:rPr>
      </w:pPr>
      <w:r w:rsidRPr="00284463">
        <w:rPr>
          <w:lang w:val="cs-CZ"/>
        </w:rPr>
        <w:t>Podíl studujících žen na UO dle jednotlivých fakult (akademický rok 2020/2021)</w:t>
      </w:r>
    </w:p>
    <w:p w14:paraId="28E29EC2" w14:textId="77777777" w:rsidR="001A05B3" w:rsidRPr="00284463" w:rsidRDefault="001A05B3" w:rsidP="001A05B3">
      <w:pPr>
        <w:ind w:left="1410" w:hanging="1410"/>
        <w:jc w:val="center"/>
        <w:rPr>
          <w:b/>
          <w:u w:val="single"/>
          <w:lang w:val="cs-CZ"/>
        </w:rPr>
      </w:pPr>
      <w:r w:rsidRPr="00284463">
        <w:rPr>
          <w:noProof/>
          <w:lang w:val="cs-CZ" w:eastAsia="cs-CZ"/>
        </w:rPr>
        <w:lastRenderedPageBreak/>
        <w:drawing>
          <wp:inline distT="0" distB="0" distL="0" distR="0" wp14:anchorId="3F011B5E" wp14:editId="2AED9F45">
            <wp:extent cx="3931920" cy="2254469"/>
            <wp:effectExtent l="0" t="0" r="11430" b="1270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F134B9" w14:textId="77777777" w:rsidR="001A05B3" w:rsidRPr="00284463" w:rsidRDefault="001A05B3" w:rsidP="001A05B3">
      <w:pPr>
        <w:jc w:val="both"/>
        <w:rPr>
          <w:b/>
          <w:u w:val="single"/>
          <w:lang w:val="cs-CZ"/>
        </w:rPr>
      </w:pPr>
    </w:p>
    <w:p w14:paraId="7880522E" w14:textId="77777777" w:rsidR="001A05B3" w:rsidRPr="00284463" w:rsidRDefault="001A05B3" w:rsidP="001A05B3">
      <w:pPr>
        <w:ind w:left="1410" w:hanging="1410"/>
        <w:jc w:val="center"/>
        <w:rPr>
          <w:b/>
          <w:u w:val="single"/>
          <w:lang w:val="cs-CZ"/>
        </w:rPr>
      </w:pPr>
      <w:r w:rsidRPr="00284463">
        <w:rPr>
          <w:noProof/>
          <w:lang w:val="cs-CZ" w:eastAsia="cs-CZ"/>
        </w:rPr>
        <w:drawing>
          <wp:inline distT="0" distB="0" distL="0" distR="0" wp14:anchorId="5E79E1A7" wp14:editId="57C3BB83">
            <wp:extent cx="3329940" cy="1965960"/>
            <wp:effectExtent l="0" t="0" r="3810" b="1524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DD98A8" w14:textId="77777777" w:rsidR="001A05B3" w:rsidRPr="00284463" w:rsidRDefault="001A05B3" w:rsidP="001A05B3">
      <w:pPr>
        <w:ind w:left="1410" w:hanging="1410"/>
        <w:jc w:val="center"/>
        <w:rPr>
          <w:b/>
          <w:u w:val="single"/>
          <w:lang w:val="cs-CZ"/>
        </w:rPr>
      </w:pPr>
    </w:p>
    <w:p w14:paraId="69365F3D" w14:textId="11F63179" w:rsidR="001A05B3" w:rsidRPr="00284463" w:rsidRDefault="001A05B3" w:rsidP="001A05B3">
      <w:pPr>
        <w:shd w:val="clear" w:color="auto" w:fill="FFFFFF"/>
        <w:jc w:val="both"/>
        <w:rPr>
          <w:lang w:val="cs-CZ"/>
        </w:rPr>
      </w:pPr>
      <w:r w:rsidRPr="00284463">
        <w:rPr>
          <w:lang w:val="cs-CZ"/>
        </w:rPr>
        <w:t>Vedení Vojenské střední školy a Vyšší odborné školy MO v  Moravské Třebové (VSŠ VOŠ) trvale propaguje, v rámci marketingové politiky, možnost studia žen/dívek ve všech studijních oborech, které nabízí. K tomu využívá řadu marketingových aktivit. Bohužel, v roce 2020 byly všechny akce na veřejnosti zrušeny z důvodu epidemiologických opatření v souvislosti s pandemií covid-19. Využívána byla především on-line prezentace VSŠ VOŠ na webu, Facebooku a Instagramu. V průběhu měsíce listopadu a prosince, kdy byla umožněna výuka, byla natočena videa ze života školy, která jsou přístupná na Youtube.</w:t>
      </w:r>
    </w:p>
    <w:p w14:paraId="2CD4BC82" w14:textId="46473511" w:rsidR="00A808A0" w:rsidRPr="00284463" w:rsidRDefault="00A808A0" w:rsidP="001A05B3">
      <w:pPr>
        <w:shd w:val="clear" w:color="auto" w:fill="FFFFFF"/>
        <w:jc w:val="both"/>
        <w:rPr>
          <w:lang w:val="cs-CZ"/>
        </w:rPr>
      </w:pPr>
    </w:p>
    <w:p w14:paraId="34CBB3D4" w14:textId="77777777" w:rsidR="00A808A0" w:rsidRPr="00284463" w:rsidRDefault="00A808A0" w:rsidP="001A05B3">
      <w:pPr>
        <w:shd w:val="clear" w:color="auto" w:fill="FFFFFF"/>
        <w:jc w:val="both"/>
        <w:rPr>
          <w:lang w:val="cs-CZ"/>
        </w:rPr>
      </w:pPr>
    </w:p>
    <w:p w14:paraId="65F08AE3" w14:textId="77777777" w:rsidR="001A05B3" w:rsidRPr="00284463" w:rsidRDefault="001A05B3" w:rsidP="001A05B3">
      <w:pPr>
        <w:spacing w:before="120"/>
        <w:jc w:val="center"/>
        <w:rPr>
          <w:lang w:val="cs-CZ"/>
        </w:rPr>
      </w:pPr>
      <w:r w:rsidRPr="00284463">
        <w:rPr>
          <w:noProof/>
          <w:lang w:val="cs-CZ" w:eastAsia="cs-CZ"/>
        </w:rPr>
        <w:drawing>
          <wp:inline distT="0" distB="0" distL="0" distR="0" wp14:anchorId="228EEC42" wp14:editId="1ED847E6">
            <wp:extent cx="3040380" cy="1954924"/>
            <wp:effectExtent l="0" t="0" r="7620" b="762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0D1D9A" w14:textId="77777777" w:rsidR="001A05B3" w:rsidRPr="00284463" w:rsidRDefault="001A05B3" w:rsidP="001A05B3">
      <w:pPr>
        <w:jc w:val="both"/>
        <w:rPr>
          <w:b/>
          <w:u w:val="single"/>
          <w:lang w:val="cs-CZ"/>
        </w:rPr>
      </w:pPr>
    </w:p>
    <w:p w14:paraId="0A356F72" w14:textId="77777777" w:rsidR="001A05B3" w:rsidRPr="00284463" w:rsidRDefault="001A05B3" w:rsidP="001A05B3">
      <w:pPr>
        <w:jc w:val="center"/>
        <w:rPr>
          <w:b/>
          <w:u w:val="single"/>
          <w:lang w:val="cs-CZ"/>
        </w:rPr>
      </w:pPr>
      <w:r w:rsidRPr="00284463">
        <w:rPr>
          <w:noProof/>
          <w:lang w:val="cs-CZ" w:eastAsia="cs-CZ"/>
        </w:rPr>
        <w:lastRenderedPageBreak/>
        <w:drawing>
          <wp:inline distT="0" distB="0" distL="0" distR="0" wp14:anchorId="097AC06F" wp14:editId="699068EE">
            <wp:extent cx="3002280" cy="1931276"/>
            <wp:effectExtent l="0" t="0" r="26670" b="1206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5FC5F5" w14:textId="77777777" w:rsidR="001A05B3" w:rsidRPr="00284463" w:rsidRDefault="001A05B3" w:rsidP="001A05B3">
      <w:pPr>
        <w:snapToGrid w:val="0"/>
        <w:spacing w:after="120" w:line="276" w:lineRule="auto"/>
        <w:jc w:val="both"/>
        <w:rPr>
          <w:lang w:val="cs-CZ"/>
        </w:rPr>
      </w:pPr>
    </w:p>
    <w:p w14:paraId="31F1CC7A" w14:textId="472CEA13" w:rsidR="001A05B3" w:rsidRPr="00284463" w:rsidRDefault="001A05B3" w:rsidP="001A05B3">
      <w:pPr>
        <w:jc w:val="both"/>
        <w:rPr>
          <w:color w:val="000000"/>
          <w:lang w:val="cs-CZ"/>
        </w:rPr>
      </w:pPr>
    </w:p>
    <w:p w14:paraId="3816AB17" w14:textId="5AFC8FD2" w:rsidR="001A05B3" w:rsidRPr="00284463" w:rsidRDefault="001A05B3" w:rsidP="005B3BDD">
      <w:pPr>
        <w:pStyle w:val="Odstavecseseznamem"/>
        <w:numPr>
          <w:ilvl w:val="0"/>
          <w:numId w:val="27"/>
        </w:numPr>
        <w:jc w:val="both"/>
        <w:rPr>
          <w:b/>
          <w:color w:val="000000"/>
          <w:u w:val="single"/>
          <w:lang w:val="cs-CZ"/>
        </w:rPr>
      </w:pPr>
      <w:r w:rsidRPr="00284463">
        <w:rPr>
          <w:b/>
          <w:color w:val="000000"/>
          <w:u w:val="single"/>
          <w:lang w:val="cs-CZ"/>
        </w:rPr>
        <w:t>Vzdělávání v kompetenci MV</w:t>
      </w:r>
    </w:p>
    <w:p w14:paraId="1AD92743" w14:textId="77777777" w:rsidR="001A05B3" w:rsidRPr="00284463" w:rsidRDefault="001A05B3" w:rsidP="001A05B3">
      <w:pPr>
        <w:jc w:val="both"/>
        <w:rPr>
          <w:color w:val="000000"/>
          <w:lang w:val="cs-CZ"/>
        </w:rPr>
      </w:pPr>
    </w:p>
    <w:p w14:paraId="2CF613C5" w14:textId="058A6322" w:rsidR="001A05B3" w:rsidRPr="00284463" w:rsidRDefault="001A05B3" w:rsidP="001A05B3">
      <w:pPr>
        <w:jc w:val="both"/>
        <w:rPr>
          <w:color w:val="000000"/>
          <w:lang w:val="cs-CZ"/>
        </w:rPr>
      </w:pPr>
      <w:r w:rsidRPr="00284463">
        <w:rPr>
          <w:color w:val="000000"/>
          <w:lang w:val="cs-CZ"/>
        </w:rPr>
        <w:t>Střední a vyšší policejní školy, popř. Policejní akademie oslovují v rámci své kampaně případné studenty a studentky (tedy muže i ženy) samostatně (studium na těchto školách není podmíněno nástupem k Policii ČR). Policie ČR studenty a studentky v průběhu studia na těchto školách cíleně oslovuje a motivuje je, aby se po absolvování studia ucházeli o vstup do služebního poměru k Policii ČR.</w:t>
      </w:r>
    </w:p>
    <w:p w14:paraId="28EDF9D6" w14:textId="77777777" w:rsidR="001A05B3" w:rsidRPr="00284463" w:rsidRDefault="001A05B3" w:rsidP="001A05B3">
      <w:pPr>
        <w:autoSpaceDE w:val="0"/>
        <w:autoSpaceDN w:val="0"/>
        <w:adjustRightInd w:val="0"/>
        <w:jc w:val="both"/>
        <w:rPr>
          <w:color w:val="000000"/>
          <w:lang w:val="cs-CZ"/>
        </w:rPr>
      </w:pPr>
    </w:p>
    <w:p w14:paraId="77612D9A" w14:textId="5B14C3EC" w:rsidR="001A05B3" w:rsidRPr="00284463" w:rsidRDefault="001A05B3" w:rsidP="001A05B3">
      <w:pPr>
        <w:autoSpaceDE w:val="0"/>
        <w:autoSpaceDN w:val="0"/>
        <w:adjustRightInd w:val="0"/>
        <w:jc w:val="both"/>
        <w:rPr>
          <w:color w:val="000000"/>
          <w:lang w:val="cs-CZ"/>
        </w:rPr>
      </w:pPr>
      <w:r w:rsidRPr="00284463">
        <w:rPr>
          <w:color w:val="000000"/>
          <w:lang w:val="cs-CZ"/>
        </w:rPr>
        <w:t>Policie ČR, konkrétně obor personální PPČR a rovněž nově vzniklé oddělení náboru a personální stabilizace, spolupracuje se SPŠ a VPŠ v Praze a Holešově. Ve spolupráci se školami byly vytvořeny plány, které v souladu se studijním plánem vhodnou formou motivují studentky a studenty k práci u Policie ČR.  Plány vznikly „na klíč“ pro každou školu i ročník; pracují tedy se všemi studenty a studentkami včetně těch nejmladších. Jedná se souhrn aktivit, jako jsou přednášky, workshopy, dny otevřených dveří, ukázky činnosti, náborové přednášky a v neposlední řadě i spoluprác</w:t>
      </w:r>
      <w:r w:rsidR="00A07E82" w:rsidRPr="00284463">
        <w:rPr>
          <w:color w:val="000000"/>
          <w:lang w:val="cs-CZ"/>
        </w:rPr>
        <w:t>e</w:t>
      </w:r>
      <w:r w:rsidRPr="00284463">
        <w:rPr>
          <w:color w:val="000000"/>
          <w:lang w:val="cs-CZ"/>
        </w:rPr>
        <w:t xml:space="preserve"> v rámci řízených odborných praxí studentů a studentek 3. ročníků.  Studenti a studentky 4. ročníků mají možnost v rámci personálního semináře hovořit s konkrétním personalistou či personalistkou útvaru či kraje, kam se později uchází o vstup do služebního poměru příslušníka/příslušnice Policie ČR. Bohužel i tato spolupráce byla v roce 2020 negativně ovlivněna pandemií Covid-19, proto probíhala v omezené formě a výhradně on-line.  </w:t>
      </w:r>
    </w:p>
    <w:p w14:paraId="08040073" w14:textId="77777777" w:rsidR="001A05B3" w:rsidRPr="00284463" w:rsidRDefault="001A05B3" w:rsidP="001A05B3">
      <w:pPr>
        <w:jc w:val="both"/>
        <w:rPr>
          <w:color w:val="000000"/>
          <w:lang w:val="cs-CZ"/>
        </w:rPr>
      </w:pPr>
    </w:p>
    <w:p w14:paraId="661F6042" w14:textId="7324F1B6" w:rsidR="001A05B3" w:rsidRPr="00284463" w:rsidRDefault="001A05B3" w:rsidP="001A05B3">
      <w:pPr>
        <w:jc w:val="both"/>
        <w:rPr>
          <w:color w:val="000000"/>
          <w:lang w:val="cs-CZ"/>
        </w:rPr>
      </w:pPr>
      <w:r w:rsidRPr="00284463">
        <w:rPr>
          <w:color w:val="000000"/>
          <w:lang w:val="cs-CZ"/>
        </w:rPr>
        <w:t>Při přijímání žáků/žákyň a studentů/studentek ke vzdělávání v policejních školách je postupováno v souladu se zákonem č. 561/2014 Sb., o předškolním, základním, středním, vyšším odborném a jiném vzdělávání (školský zákon), ve znění pozdějších předpisů a vyhláškou č. 2/2006 Sb., kterou se pro školy a školská zařízení zřizované Ministerstvem vnitra provádějí některá ustanovení školského zákona. Policejní školy se dále řídí zákonem č. 198/2009 Sb., o rovném zacházení a o právních prostředcích ochrany před diskriminací a o změně některých zákonů.</w:t>
      </w:r>
    </w:p>
    <w:p w14:paraId="5B177E41" w14:textId="77777777" w:rsidR="001A05B3" w:rsidRPr="00284463" w:rsidRDefault="001A05B3" w:rsidP="001A05B3">
      <w:pPr>
        <w:autoSpaceDE w:val="0"/>
        <w:autoSpaceDN w:val="0"/>
        <w:adjustRightInd w:val="0"/>
        <w:jc w:val="both"/>
        <w:rPr>
          <w:color w:val="000000"/>
          <w:lang w:val="cs-CZ"/>
        </w:rPr>
      </w:pPr>
    </w:p>
    <w:p w14:paraId="5CBCB2CB" w14:textId="6C718C12" w:rsidR="001A05B3" w:rsidRPr="00284463" w:rsidRDefault="001A05B3" w:rsidP="001A05B3">
      <w:pPr>
        <w:autoSpaceDE w:val="0"/>
        <w:autoSpaceDN w:val="0"/>
        <w:adjustRightInd w:val="0"/>
        <w:jc w:val="both"/>
        <w:rPr>
          <w:color w:val="000000"/>
          <w:lang w:val="cs-CZ"/>
        </w:rPr>
      </w:pPr>
      <w:r w:rsidRPr="00284463">
        <w:rPr>
          <w:color w:val="000000"/>
          <w:lang w:val="cs-CZ"/>
        </w:rPr>
        <w:t xml:space="preserve">Nabídka středního a vyššího odborného vzdělávání, včetně informací o vzdělávání v jednotlivých vzdělávacích programech, je představena a propagována na webových stránkách rezortních škol. </w:t>
      </w:r>
    </w:p>
    <w:p w14:paraId="32EA0867" w14:textId="77777777" w:rsidR="001A05B3" w:rsidRPr="00284463" w:rsidRDefault="001A05B3" w:rsidP="001A05B3">
      <w:pPr>
        <w:autoSpaceDE w:val="0"/>
        <w:autoSpaceDN w:val="0"/>
        <w:adjustRightInd w:val="0"/>
        <w:jc w:val="both"/>
        <w:rPr>
          <w:color w:val="000000"/>
          <w:lang w:val="cs-CZ"/>
        </w:rPr>
      </w:pPr>
    </w:p>
    <w:p w14:paraId="4E240863" w14:textId="5D28ADF5" w:rsidR="001A05B3" w:rsidRPr="00284463" w:rsidRDefault="001A05B3" w:rsidP="001A05B3">
      <w:pPr>
        <w:autoSpaceDE w:val="0"/>
        <w:autoSpaceDN w:val="0"/>
        <w:adjustRightInd w:val="0"/>
        <w:jc w:val="both"/>
        <w:rPr>
          <w:color w:val="000000"/>
          <w:lang w:val="cs-CZ"/>
        </w:rPr>
      </w:pPr>
      <w:r w:rsidRPr="00284463">
        <w:rPr>
          <w:color w:val="000000"/>
          <w:lang w:val="cs-CZ"/>
        </w:rPr>
        <w:t xml:space="preserve">VPŠ a SPŠ MV v Holešově převážně v průběhu školního roku 2019/2020 realizovala projekt pro žáky a žákyně střední školy s názvem </w:t>
      </w:r>
      <w:r w:rsidRPr="00284463">
        <w:rPr>
          <w:b/>
          <w:color w:val="000000"/>
          <w:lang w:val="cs-CZ"/>
        </w:rPr>
        <w:t>„Zvyšování osobnostních kompetencí pro vstup k Policii ČR“</w:t>
      </w:r>
      <w:r w:rsidRPr="00284463">
        <w:rPr>
          <w:color w:val="000000"/>
          <w:lang w:val="cs-CZ"/>
        </w:rPr>
        <w:t>. Obsahem projektu bylo zmapování situace třídních kolektivů prostřednictvím sociometrického šetření, zvyšování zájmu žáků</w:t>
      </w:r>
      <w:r w:rsidR="00A07E82" w:rsidRPr="00284463">
        <w:rPr>
          <w:color w:val="000000"/>
          <w:lang w:val="cs-CZ"/>
        </w:rPr>
        <w:t>/žákyň</w:t>
      </w:r>
      <w:r w:rsidRPr="00284463">
        <w:rPr>
          <w:color w:val="000000"/>
          <w:lang w:val="cs-CZ"/>
        </w:rPr>
        <w:t xml:space="preserve"> o policejní práci.</w:t>
      </w:r>
    </w:p>
    <w:p w14:paraId="6AF891FF" w14:textId="77777777" w:rsidR="001A05B3" w:rsidRPr="00284463" w:rsidRDefault="001A05B3" w:rsidP="001A05B3">
      <w:pPr>
        <w:autoSpaceDE w:val="0"/>
        <w:autoSpaceDN w:val="0"/>
        <w:adjustRightInd w:val="0"/>
        <w:jc w:val="both"/>
        <w:rPr>
          <w:color w:val="000000"/>
          <w:lang w:val="cs-CZ"/>
        </w:rPr>
      </w:pPr>
    </w:p>
    <w:p w14:paraId="5762945B" w14:textId="0400DA9D" w:rsidR="001A05B3" w:rsidRPr="00284463" w:rsidRDefault="001A05B3" w:rsidP="001A05B3">
      <w:pPr>
        <w:autoSpaceDE w:val="0"/>
        <w:autoSpaceDN w:val="0"/>
        <w:adjustRightInd w:val="0"/>
        <w:jc w:val="both"/>
        <w:rPr>
          <w:color w:val="000000"/>
          <w:lang w:val="cs-CZ"/>
        </w:rPr>
      </w:pPr>
      <w:r w:rsidRPr="00284463">
        <w:rPr>
          <w:color w:val="000000"/>
          <w:lang w:val="cs-CZ"/>
        </w:rPr>
        <w:t xml:space="preserve">V souvislosti s prevencí před nákazou virem způsobujícím onemocnění Covid-19 musela být </w:t>
      </w:r>
      <w:r w:rsidR="00284463" w:rsidRPr="00284463">
        <w:rPr>
          <w:color w:val="000000"/>
          <w:lang w:val="cs-CZ"/>
        </w:rPr>
        <w:t>většina tradičních</w:t>
      </w:r>
      <w:r w:rsidRPr="00284463">
        <w:rPr>
          <w:color w:val="000000"/>
          <w:lang w:val="cs-CZ"/>
        </w:rPr>
        <w:t xml:space="preserve"> osvětových aktivit – výstavy, veletrhy vzdělávání, burzy škol, propagační akce na základních školách – v roce 2020 zrušena. Zůstaly však zachovány tzv. „Dny otevřených dveří“, jako jedna z významných propagačních akcí, i tyto však probíhaly jen virtuálně</w:t>
      </w:r>
      <w:r w:rsidR="00A07E82" w:rsidRPr="00284463">
        <w:rPr>
          <w:color w:val="000000"/>
          <w:lang w:val="cs-CZ"/>
        </w:rPr>
        <w:t>, resp. on-line</w:t>
      </w:r>
      <w:r w:rsidRPr="00284463">
        <w:rPr>
          <w:color w:val="000000"/>
          <w:lang w:val="cs-CZ"/>
        </w:rPr>
        <w:t xml:space="preserve">. </w:t>
      </w:r>
    </w:p>
    <w:p w14:paraId="7BE25174" w14:textId="77777777" w:rsidR="001A05B3" w:rsidRPr="00284463" w:rsidRDefault="001A05B3" w:rsidP="001A05B3">
      <w:pPr>
        <w:autoSpaceDE w:val="0"/>
        <w:autoSpaceDN w:val="0"/>
        <w:adjustRightInd w:val="0"/>
        <w:jc w:val="both"/>
        <w:rPr>
          <w:color w:val="000000"/>
          <w:lang w:val="cs-CZ"/>
        </w:rPr>
      </w:pPr>
    </w:p>
    <w:p w14:paraId="22C24CC7" w14:textId="6F89100A" w:rsidR="001A05B3" w:rsidRPr="00284463" w:rsidRDefault="001A05B3" w:rsidP="001A05B3">
      <w:pPr>
        <w:jc w:val="both"/>
        <w:rPr>
          <w:color w:val="000000"/>
          <w:lang w:val="cs-CZ"/>
        </w:rPr>
      </w:pPr>
      <w:r w:rsidRPr="00284463">
        <w:rPr>
          <w:color w:val="000000"/>
          <w:lang w:val="cs-CZ"/>
        </w:rPr>
        <w:t xml:space="preserve">MV vede následující statistiky zohledňující podíl studujících dívek a chlapců / žen </w:t>
      </w:r>
      <w:r w:rsidRPr="00284463">
        <w:rPr>
          <w:color w:val="000000"/>
          <w:lang w:val="cs-CZ"/>
        </w:rPr>
        <w:br/>
        <w:t>a mužů a jejich úspěšnost v rámci přijímacího řízení:</w:t>
      </w:r>
    </w:p>
    <w:p w14:paraId="13082AEA" w14:textId="77777777" w:rsidR="001A05B3" w:rsidRPr="00284463" w:rsidRDefault="001A05B3" w:rsidP="001A05B3">
      <w:pPr>
        <w:jc w:val="both"/>
        <w:rPr>
          <w:color w:val="000000"/>
          <w:lang w:val="cs-CZ"/>
        </w:rPr>
      </w:pPr>
    </w:p>
    <w:p w14:paraId="60AEF835" w14:textId="5A1DE0B9" w:rsidR="001A05B3" w:rsidRPr="00284463" w:rsidRDefault="001A05B3" w:rsidP="001A05B3">
      <w:pPr>
        <w:jc w:val="both"/>
        <w:rPr>
          <w:b/>
          <w:color w:val="000000"/>
          <w:u w:val="single"/>
          <w:lang w:val="cs-CZ"/>
        </w:rPr>
      </w:pPr>
      <w:r w:rsidRPr="00284463">
        <w:rPr>
          <w:b/>
          <w:color w:val="000000"/>
          <w:u w:val="single"/>
          <w:lang w:val="cs-CZ"/>
        </w:rPr>
        <w:t>Střední vzdělávání s maturitní zkouškou VPŠ a SPŠ MV v Praze</w:t>
      </w:r>
    </w:p>
    <w:p w14:paraId="33750530" w14:textId="77777777" w:rsidR="001A05B3" w:rsidRPr="00284463" w:rsidRDefault="001A05B3" w:rsidP="001A05B3">
      <w:pPr>
        <w:jc w:val="center"/>
        <w:rPr>
          <w:color w:val="000000"/>
          <w:lang w:val="cs-CZ"/>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63"/>
        <w:gridCol w:w="909"/>
        <w:gridCol w:w="763"/>
        <w:gridCol w:w="909"/>
        <w:gridCol w:w="763"/>
        <w:gridCol w:w="909"/>
        <w:gridCol w:w="763"/>
        <w:gridCol w:w="909"/>
        <w:gridCol w:w="763"/>
        <w:gridCol w:w="909"/>
        <w:gridCol w:w="763"/>
      </w:tblGrid>
      <w:tr w:rsidR="001A05B3" w:rsidRPr="00284463" w14:paraId="524AF754" w14:textId="77777777" w:rsidTr="00B06151">
        <w:tc>
          <w:tcPr>
            <w:tcW w:w="4832" w:type="dxa"/>
            <w:gridSpan w:val="6"/>
            <w:shd w:val="clear" w:color="auto" w:fill="auto"/>
          </w:tcPr>
          <w:p w14:paraId="2B54C68D" w14:textId="77777777" w:rsidR="001A05B3" w:rsidRPr="00284463" w:rsidRDefault="001A05B3" w:rsidP="00B06151">
            <w:pPr>
              <w:jc w:val="center"/>
              <w:rPr>
                <w:color w:val="000000"/>
                <w:lang w:val="cs-CZ"/>
              </w:rPr>
            </w:pPr>
            <w:r w:rsidRPr="00284463">
              <w:rPr>
                <w:color w:val="000000"/>
                <w:lang w:val="cs-CZ"/>
              </w:rPr>
              <w:t>2019/2020</w:t>
            </w:r>
          </w:p>
        </w:tc>
        <w:tc>
          <w:tcPr>
            <w:tcW w:w="4783" w:type="dxa"/>
            <w:gridSpan w:val="6"/>
            <w:shd w:val="clear" w:color="auto" w:fill="auto"/>
          </w:tcPr>
          <w:p w14:paraId="6E51C6F8" w14:textId="77777777" w:rsidR="001A05B3" w:rsidRPr="00284463" w:rsidRDefault="001A05B3" w:rsidP="00B06151">
            <w:pPr>
              <w:jc w:val="center"/>
              <w:rPr>
                <w:color w:val="000000"/>
                <w:lang w:val="cs-CZ"/>
              </w:rPr>
            </w:pPr>
            <w:r w:rsidRPr="00284463">
              <w:rPr>
                <w:color w:val="000000"/>
                <w:lang w:val="cs-CZ"/>
              </w:rPr>
              <w:t>2020/2021</w:t>
            </w:r>
          </w:p>
        </w:tc>
      </w:tr>
      <w:tr w:rsidR="001A05B3" w:rsidRPr="00284463" w14:paraId="6C6330E1" w14:textId="77777777" w:rsidTr="00B06151">
        <w:trPr>
          <w:trHeight w:val="1042"/>
        </w:trPr>
        <w:tc>
          <w:tcPr>
            <w:tcW w:w="1610" w:type="dxa"/>
            <w:gridSpan w:val="2"/>
            <w:shd w:val="clear" w:color="auto" w:fill="auto"/>
            <w:vAlign w:val="center"/>
          </w:tcPr>
          <w:p w14:paraId="20FF2643" w14:textId="77777777" w:rsidR="001A05B3" w:rsidRPr="00284463" w:rsidRDefault="001A05B3" w:rsidP="00B06151">
            <w:pPr>
              <w:jc w:val="center"/>
              <w:rPr>
                <w:color w:val="000000"/>
                <w:lang w:val="cs-CZ"/>
              </w:rPr>
            </w:pPr>
            <w:r w:rsidRPr="00284463">
              <w:rPr>
                <w:color w:val="000000"/>
                <w:lang w:val="cs-CZ"/>
              </w:rPr>
              <w:t>účast při přijímacím řízení</w:t>
            </w:r>
          </w:p>
        </w:tc>
        <w:tc>
          <w:tcPr>
            <w:tcW w:w="1611" w:type="dxa"/>
            <w:gridSpan w:val="2"/>
            <w:shd w:val="clear" w:color="auto" w:fill="auto"/>
            <w:vAlign w:val="center"/>
          </w:tcPr>
          <w:p w14:paraId="776B9C86" w14:textId="77777777" w:rsidR="001A05B3" w:rsidRPr="00284463" w:rsidRDefault="001A05B3" w:rsidP="00B06151">
            <w:pPr>
              <w:jc w:val="center"/>
              <w:rPr>
                <w:color w:val="000000"/>
                <w:lang w:val="cs-CZ"/>
              </w:rPr>
            </w:pPr>
            <w:r w:rsidRPr="00284463">
              <w:rPr>
                <w:color w:val="000000"/>
                <w:lang w:val="cs-CZ"/>
              </w:rPr>
              <w:t>přijato</w:t>
            </w:r>
          </w:p>
        </w:tc>
        <w:tc>
          <w:tcPr>
            <w:tcW w:w="1611" w:type="dxa"/>
            <w:gridSpan w:val="2"/>
            <w:shd w:val="clear" w:color="auto" w:fill="auto"/>
            <w:vAlign w:val="center"/>
          </w:tcPr>
          <w:p w14:paraId="7660A5C1" w14:textId="77777777" w:rsidR="001A05B3" w:rsidRPr="00284463" w:rsidRDefault="001A05B3" w:rsidP="00B06151">
            <w:pPr>
              <w:jc w:val="center"/>
              <w:rPr>
                <w:color w:val="000000"/>
                <w:lang w:val="cs-CZ"/>
              </w:rPr>
            </w:pPr>
          </w:p>
          <w:p w14:paraId="74C3DEA9" w14:textId="77777777" w:rsidR="001A05B3" w:rsidRPr="00284463" w:rsidRDefault="001A05B3" w:rsidP="00B06151">
            <w:pPr>
              <w:jc w:val="center"/>
              <w:rPr>
                <w:color w:val="000000"/>
                <w:lang w:val="cs-CZ"/>
              </w:rPr>
            </w:pPr>
            <w:r w:rsidRPr="00284463">
              <w:rPr>
                <w:color w:val="000000"/>
                <w:lang w:val="cs-CZ"/>
              </w:rPr>
              <w:t>žáci</w:t>
            </w:r>
          </w:p>
          <w:p w14:paraId="1941FBD9" w14:textId="77777777" w:rsidR="001A05B3" w:rsidRPr="00284463" w:rsidRDefault="001A05B3" w:rsidP="00B06151">
            <w:pPr>
              <w:jc w:val="center"/>
              <w:rPr>
                <w:color w:val="000000"/>
                <w:lang w:val="cs-CZ"/>
              </w:rPr>
            </w:pPr>
          </w:p>
        </w:tc>
        <w:tc>
          <w:tcPr>
            <w:tcW w:w="1611" w:type="dxa"/>
            <w:gridSpan w:val="2"/>
            <w:shd w:val="clear" w:color="auto" w:fill="auto"/>
            <w:vAlign w:val="center"/>
          </w:tcPr>
          <w:p w14:paraId="13677074" w14:textId="77777777" w:rsidR="001A05B3" w:rsidRPr="00284463" w:rsidRDefault="001A05B3" w:rsidP="00B06151">
            <w:pPr>
              <w:jc w:val="center"/>
              <w:rPr>
                <w:color w:val="000000"/>
                <w:lang w:val="cs-CZ"/>
              </w:rPr>
            </w:pPr>
            <w:r w:rsidRPr="00284463">
              <w:rPr>
                <w:color w:val="000000"/>
                <w:lang w:val="cs-CZ"/>
              </w:rPr>
              <w:t>účast při přijímacím řízení</w:t>
            </w:r>
          </w:p>
        </w:tc>
        <w:tc>
          <w:tcPr>
            <w:tcW w:w="1611" w:type="dxa"/>
            <w:gridSpan w:val="2"/>
            <w:shd w:val="clear" w:color="auto" w:fill="auto"/>
            <w:vAlign w:val="center"/>
          </w:tcPr>
          <w:p w14:paraId="0251C399" w14:textId="77777777" w:rsidR="001A05B3" w:rsidRPr="00284463" w:rsidRDefault="001A05B3" w:rsidP="00B06151">
            <w:pPr>
              <w:jc w:val="center"/>
              <w:rPr>
                <w:color w:val="000000"/>
                <w:lang w:val="cs-CZ"/>
              </w:rPr>
            </w:pPr>
            <w:r w:rsidRPr="00284463">
              <w:rPr>
                <w:color w:val="000000"/>
                <w:lang w:val="cs-CZ"/>
              </w:rPr>
              <w:t>přijato</w:t>
            </w:r>
          </w:p>
        </w:tc>
        <w:tc>
          <w:tcPr>
            <w:tcW w:w="1561" w:type="dxa"/>
            <w:gridSpan w:val="2"/>
            <w:shd w:val="clear" w:color="auto" w:fill="auto"/>
            <w:vAlign w:val="center"/>
          </w:tcPr>
          <w:p w14:paraId="15C97391" w14:textId="77777777" w:rsidR="001A05B3" w:rsidRPr="00284463" w:rsidRDefault="001A05B3" w:rsidP="00B06151">
            <w:pPr>
              <w:jc w:val="center"/>
              <w:rPr>
                <w:color w:val="000000"/>
                <w:lang w:val="cs-CZ"/>
              </w:rPr>
            </w:pPr>
            <w:r w:rsidRPr="00284463">
              <w:rPr>
                <w:color w:val="000000"/>
                <w:lang w:val="cs-CZ"/>
              </w:rPr>
              <w:t>žáci</w:t>
            </w:r>
          </w:p>
        </w:tc>
      </w:tr>
      <w:tr w:rsidR="001A05B3" w:rsidRPr="00284463" w14:paraId="270DBE9C" w14:textId="77777777" w:rsidTr="00B06151">
        <w:tc>
          <w:tcPr>
            <w:tcW w:w="889" w:type="dxa"/>
            <w:tcBorders>
              <w:bottom w:val="double" w:sz="4" w:space="0" w:color="auto"/>
            </w:tcBorders>
            <w:shd w:val="clear" w:color="auto" w:fill="auto"/>
          </w:tcPr>
          <w:p w14:paraId="34572937"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0ED4F807" w14:textId="77777777" w:rsidR="001A05B3" w:rsidRPr="00284463" w:rsidRDefault="001A05B3" w:rsidP="00B06151">
            <w:pPr>
              <w:jc w:val="both"/>
              <w:rPr>
                <w:color w:val="000000"/>
                <w:lang w:val="cs-CZ"/>
              </w:rPr>
            </w:pPr>
            <w:r w:rsidRPr="00284463">
              <w:rPr>
                <w:color w:val="000000"/>
                <w:lang w:val="cs-CZ"/>
              </w:rPr>
              <w:t>dívky</w:t>
            </w:r>
          </w:p>
        </w:tc>
        <w:tc>
          <w:tcPr>
            <w:tcW w:w="890" w:type="dxa"/>
            <w:tcBorders>
              <w:bottom w:val="double" w:sz="4" w:space="0" w:color="auto"/>
            </w:tcBorders>
            <w:shd w:val="clear" w:color="auto" w:fill="auto"/>
          </w:tcPr>
          <w:p w14:paraId="1B3BDE3E"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62C99EC1" w14:textId="77777777" w:rsidR="001A05B3" w:rsidRPr="00284463" w:rsidRDefault="001A05B3" w:rsidP="00B06151">
            <w:pPr>
              <w:jc w:val="both"/>
              <w:rPr>
                <w:color w:val="000000"/>
                <w:lang w:val="cs-CZ"/>
              </w:rPr>
            </w:pPr>
            <w:r w:rsidRPr="00284463">
              <w:rPr>
                <w:color w:val="000000"/>
                <w:lang w:val="cs-CZ"/>
              </w:rPr>
              <w:t>dívky</w:t>
            </w:r>
          </w:p>
        </w:tc>
        <w:tc>
          <w:tcPr>
            <w:tcW w:w="890" w:type="dxa"/>
            <w:tcBorders>
              <w:bottom w:val="double" w:sz="4" w:space="0" w:color="auto"/>
            </w:tcBorders>
            <w:shd w:val="clear" w:color="auto" w:fill="auto"/>
          </w:tcPr>
          <w:p w14:paraId="6BDC2EB9"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78F95C86" w14:textId="77777777" w:rsidR="001A05B3" w:rsidRPr="00284463" w:rsidRDefault="001A05B3" w:rsidP="00B06151">
            <w:pPr>
              <w:jc w:val="both"/>
              <w:rPr>
                <w:color w:val="000000"/>
                <w:lang w:val="cs-CZ"/>
              </w:rPr>
            </w:pPr>
            <w:r w:rsidRPr="00284463">
              <w:rPr>
                <w:color w:val="000000"/>
                <w:lang w:val="cs-CZ"/>
              </w:rPr>
              <w:t>dívky</w:t>
            </w:r>
          </w:p>
        </w:tc>
        <w:tc>
          <w:tcPr>
            <w:tcW w:w="890" w:type="dxa"/>
            <w:tcBorders>
              <w:bottom w:val="double" w:sz="4" w:space="0" w:color="auto"/>
            </w:tcBorders>
            <w:shd w:val="clear" w:color="auto" w:fill="auto"/>
          </w:tcPr>
          <w:p w14:paraId="115F817C"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17F72ED1" w14:textId="77777777" w:rsidR="001A05B3" w:rsidRPr="00284463" w:rsidRDefault="001A05B3" w:rsidP="00B06151">
            <w:pPr>
              <w:jc w:val="both"/>
              <w:rPr>
                <w:color w:val="000000"/>
                <w:lang w:val="cs-CZ"/>
              </w:rPr>
            </w:pPr>
            <w:r w:rsidRPr="00284463">
              <w:rPr>
                <w:color w:val="000000"/>
                <w:lang w:val="cs-CZ"/>
              </w:rPr>
              <w:t>dívky</w:t>
            </w:r>
          </w:p>
        </w:tc>
        <w:tc>
          <w:tcPr>
            <w:tcW w:w="890" w:type="dxa"/>
            <w:tcBorders>
              <w:bottom w:val="double" w:sz="4" w:space="0" w:color="auto"/>
            </w:tcBorders>
            <w:shd w:val="clear" w:color="auto" w:fill="auto"/>
          </w:tcPr>
          <w:p w14:paraId="00CBC752"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24AA3B87" w14:textId="77777777" w:rsidR="001A05B3" w:rsidRPr="00284463" w:rsidRDefault="001A05B3" w:rsidP="00B06151">
            <w:pPr>
              <w:jc w:val="both"/>
              <w:rPr>
                <w:color w:val="000000"/>
                <w:lang w:val="cs-CZ"/>
              </w:rPr>
            </w:pPr>
            <w:r w:rsidRPr="00284463">
              <w:rPr>
                <w:color w:val="000000"/>
                <w:lang w:val="cs-CZ"/>
              </w:rPr>
              <w:t>dívky</w:t>
            </w:r>
          </w:p>
        </w:tc>
        <w:tc>
          <w:tcPr>
            <w:tcW w:w="840" w:type="dxa"/>
            <w:tcBorders>
              <w:bottom w:val="double" w:sz="4" w:space="0" w:color="auto"/>
            </w:tcBorders>
            <w:shd w:val="clear" w:color="auto" w:fill="auto"/>
          </w:tcPr>
          <w:p w14:paraId="31BA805D"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5ADB385A" w14:textId="77777777" w:rsidR="001A05B3" w:rsidRPr="00284463" w:rsidRDefault="001A05B3" w:rsidP="00B06151">
            <w:pPr>
              <w:jc w:val="both"/>
              <w:rPr>
                <w:color w:val="000000"/>
                <w:lang w:val="cs-CZ"/>
              </w:rPr>
            </w:pPr>
            <w:r w:rsidRPr="00284463">
              <w:rPr>
                <w:color w:val="000000"/>
                <w:lang w:val="cs-CZ"/>
              </w:rPr>
              <w:t>dívky</w:t>
            </w:r>
          </w:p>
        </w:tc>
      </w:tr>
      <w:tr w:rsidR="001A05B3" w:rsidRPr="00284463" w14:paraId="708124FC" w14:textId="77777777" w:rsidTr="00B06151">
        <w:tc>
          <w:tcPr>
            <w:tcW w:w="889" w:type="dxa"/>
            <w:tcBorders>
              <w:top w:val="double" w:sz="4" w:space="0" w:color="auto"/>
            </w:tcBorders>
            <w:shd w:val="clear" w:color="auto" w:fill="auto"/>
            <w:vAlign w:val="center"/>
          </w:tcPr>
          <w:p w14:paraId="555623AA" w14:textId="77777777" w:rsidR="001A05B3" w:rsidRPr="00284463" w:rsidRDefault="001A05B3" w:rsidP="00B06151">
            <w:pPr>
              <w:jc w:val="both"/>
              <w:rPr>
                <w:color w:val="000000"/>
                <w:lang w:val="cs-CZ"/>
              </w:rPr>
            </w:pPr>
            <w:r w:rsidRPr="00284463">
              <w:rPr>
                <w:color w:val="000000"/>
                <w:lang w:val="cs-CZ"/>
              </w:rPr>
              <w:t>253</w:t>
            </w:r>
          </w:p>
        </w:tc>
        <w:tc>
          <w:tcPr>
            <w:tcW w:w="721" w:type="dxa"/>
            <w:tcBorders>
              <w:top w:val="double" w:sz="4" w:space="0" w:color="auto"/>
            </w:tcBorders>
            <w:shd w:val="clear" w:color="auto" w:fill="auto"/>
            <w:vAlign w:val="center"/>
          </w:tcPr>
          <w:p w14:paraId="64A3050D" w14:textId="77777777" w:rsidR="001A05B3" w:rsidRPr="00284463" w:rsidRDefault="001A05B3" w:rsidP="00B06151">
            <w:pPr>
              <w:jc w:val="both"/>
              <w:rPr>
                <w:color w:val="000000"/>
                <w:lang w:val="cs-CZ"/>
              </w:rPr>
            </w:pPr>
            <w:r w:rsidRPr="00284463">
              <w:rPr>
                <w:color w:val="000000"/>
                <w:lang w:val="cs-CZ"/>
              </w:rPr>
              <w:t>260</w:t>
            </w:r>
          </w:p>
        </w:tc>
        <w:tc>
          <w:tcPr>
            <w:tcW w:w="890" w:type="dxa"/>
            <w:tcBorders>
              <w:top w:val="double" w:sz="4" w:space="0" w:color="auto"/>
            </w:tcBorders>
            <w:shd w:val="clear" w:color="auto" w:fill="auto"/>
            <w:vAlign w:val="center"/>
          </w:tcPr>
          <w:p w14:paraId="5D05AAD3" w14:textId="77777777" w:rsidR="001A05B3" w:rsidRPr="00284463" w:rsidRDefault="001A05B3" w:rsidP="00B06151">
            <w:pPr>
              <w:jc w:val="both"/>
              <w:rPr>
                <w:color w:val="000000"/>
                <w:lang w:val="cs-CZ"/>
              </w:rPr>
            </w:pPr>
            <w:r w:rsidRPr="00284463">
              <w:rPr>
                <w:color w:val="000000"/>
                <w:lang w:val="cs-CZ"/>
              </w:rPr>
              <w:t>77</w:t>
            </w:r>
          </w:p>
        </w:tc>
        <w:tc>
          <w:tcPr>
            <w:tcW w:w="721" w:type="dxa"/>
            <w:tcBorders>
              <w:top w:val="double" w:sz="4" w:space="0" w:color="auto"/>
            </w:tcBorders>
            <w:shd w:val="clear" w:color="auto" w:fill="auto"/>
            <w:vAlign w:val="center"/>
          </w:tcPr>
          <w:p w14:paraId="3D773818" w14:textId="77777777" w:rsidR="001A05B3" w:rsidRPr="00284463" w:rsidRDefault="001A05B3" w:rsidP="00B06151">
            <w:pPr>
              <w:jc w:val="both"/>
              <w:rPr>
                <w:color w:val="000000"/>
                <w:lang w:val="cs-CZ"/>
              </w:rPr>
            </w:pPr>
            <w:r w:rsidRPr="00284463">
              <w:rPr>
                <w:color w:val="000000"/>
                <w:lang w:val="cs-CZ"/>
              </w:rPr>
              <w:t>59</w:t>
            </w:r>
          </w:p>
        </w:tc>
        <w:tc>
          <w:tcPr>
            <w:tcW w:w="890" w:type="dxa"/>
            <w:tcBorders>
              <w:top w:val="double" w:sz="4" w:space="0" w:color="auto"/>
            </w:tcBorders>
            <w:shd w:val="clear" w:color="auto" w:fill="auto"/>
            <w:vAlign w:val="center"/>
          </w:tcPr>
          <w:p w14:paraId="21AFC996" w14:textId="77777777" w:rsidR="001A05B3" w:rsidRPr="00284463" w:rsidRDefault="001A05B3" w:rsidP="00B06151">
            <w:pPr>
              <w:jc w:val="both"/>
              <w:rPr>
                <w:color w:val="000000"/>
                <w:lang w:val="cs-CZ"/>
              </w:rPr>
            </w:pPr>
            <w:r w:rsidRPr="00284463">
              <w:rPr>
                <w:color w:val="000000"/>
                <w:lang w:val="cs-CZ"/>
              </w:rPr>
              <w:t>210</w:t>
            </w:r>
          </w:p>
        </w:tc>
        <w:tc>
          <w:tcPr>
            <w:tcW w:w="721" w:type="dxa"/>
            <w:tcBorders>
              <w:top w:val="double" w:sz="4" w:space="0" w:color="auto"/>
            </w:tcBorders>
            <w:shd w:val="clear" w:color="auto" w:fill="auto"/>
            <w:vAlign w:val="center"/>
          </w:tcPr>
          <w:p w14:paraId="6FD5434D" w14:textId="77777777" w:rsidR="001A05B3" w:rsidRPr="00284463" w:rsidRDefault="001A05B3" w:rsidP="00B06151">
            <w:pPr>
              <w:jc w:val="both"/>
              <w:rPr>
                <w:color w:val="000000"/>
                <w:lang w:val="cs-CZ"/>
              </w:rPr>
            </w:pPr>
            <w:r w:rsidRPr="00284463">
              <w:rPr>
                <w:color w:val="000000"/>
                <w:lang w:val="cs-CZ"/>
              </w:rPr>
              <w:t>182</w:t>
            </w:r>
          </w:p>
        </w:tc>
        <w:tc>
          <w:tcPr>
            <w:tcW w:w="890" w:type="dxa"/>
            <w:tcBorders>
              <w:top w:val="double" w:sz="4" w:space="0" w:color="auto"/>
            </w:tcBorders>
            <w:shd w:val="clear" w:color="auto" w:fill="auto"/>
            <w:vAlign w:val="center"/>
          </w:tcPr>
          <w:p w14:paraId="6383C992" w14:textId="77777777" w:rsidR="001A05B3" w:rsidRPr="00284463" w:rsidRDefault="001A05B3" w:rsidP="00B06151">
            <w:pPr>
              <w:jc w:val="both"/>
              <w:rPr>
                <w:color w:val="000000"/>
                <w:lang w:val="cs-CZ"/>
              </w:rPr>
            </w:pPr>
            <w:r w:rsidRPr="00284463">
              <w:rPr>
                <w:color w:val="000000"/>
                <w:lang w:val="cs-CZ"/>
              </w:rPr>
              <w:t>273</w:t>
            </w:r>
          </w:p>
        </w:tc>
        <w:tc>
          <w:tcPr>
            <w:tcW w:w="721" w:type="dxa"/>
            <w:tcBorders>
              <w:top w:val="double" w:sz="4" w:space="0" w:color="auto"/>
            </w:tcBorders>
            <w:shd w:val="clear" w:color="auto" w:fill="auto"/>
            <w:vAlign w:val="center"/>
          </w:tcPr>
          <w:p w14:paraId="51D8D5C2" w14:textId="77777777" w:rsidR="001A05B3" w:rsidRPr="00284463" w:rsidRDefault="001A05B3" w:rsidP="00B06151">
            <w:pPr>
              <w:jc w:val="both"/>
              <w:rPr>
                <w:color w:val="000000"/>
                <w:lang w:val="cs-CZ"/>
              </w:rPr>
            </w:pPr>
            <w:r w:rsidRPr="00284463">
              <w:rPr>
                <w:color w:val="000000"/>
                <w:lang w:val="cs-CZ"/>
              </w:rPr>
              <w:t>303</w:t>
            </w:r>
          </w:p>
        </w:tc>
        <w:tc>
          <w:tcPr>
            <w:tcW w:w="890" w:type="dxa"/>
            <w:tcBorders>
              <w:top w:val="double" w:sz="4" w:space="0" w:color="auto"/>
            </w:tcBorders>
            <w:shd w:val="clear" w:color="auto" w:fill="auto"/>
            <w:vAlign w:val="center"/>
          </w:tcPr>
          <w:p w14:paraId="068D46A7" w14:textId="77777777" w:rsidR="001A05B3" w:rsidRPr="00284463" w:rsidRDefault="001A05B3" w:rsidP="00B06151">
            <w:pPr>
              <w:jc w:val="both"/>
              <w:rPr>
                <w:color w:val="000000"/>
                <w:lang w:val="cs-CZ"/>
              </w:rPr>
            </w:pPr>
            <w:r w:rsidRPr="00284463">
              <w:rPr>
                <w:color w:val="000000"/>
                <w:lang w:val="cs-CZ"/>
              </w:rPr>
              <w:t>66</w:t>
            </w:r>
          </w:p>
        </w:tc>
        <w:tc>
          <w:tcPr>
            <w:tcW w:w="721" w:type="dxa"/>
            <w:tcBorders>
              <w:top w:val="double" w:sz="4" w:space="0" w:color="auto"/>
            </w:tcBorders>
            <w:shd w:val="clear" w:color="auto" w:fill="auto"/>
            <w:vAlign w:val="center"/>
          </w:tcPr>
          <w:p w14:paraId="74DC199B" w14:textId="77777777" w:rsidR="001A05B3" w:rsidRPr="00284463" w:rsidRDefault="001A05B3" w:rsidP="00B06151">
            <w:pPr>
              <w:jc w:val="both"/>
              <w:rPr>
                <w:color w:val="000000"/>
                <w:lang w:val="cs-CZ"/>
              </w:rPr>
            </w:pPr>
            <w:r w:rsidRPr="00284463">
              <w:rPr>
                <w:color w:val="000000"/>
                <w:lang w:val="cs-CZ"/>
              </w:rPr>
              <w:t>56</w:t>
            </w:r>
          </w:p>
        </w:tc>
        <w:tc>
          <w:tcPr>
            <w:tcW w:w="840" w:type="dxa"/>
            <w:tcBorders>
              <w:top w:val="double" w:sz="4" w:space="0" w:color="auto"/>
            </w:tcBorders>
            <w:shd w:val="clear" w:color="auto" w:fill="auto"/>
            <w:vAlign w:val="center"/>
          </w:tcPr>
          <w:p w14:paraId="3ACF3E34" w14:textId="77777777" w:rsidR="001A05B3" w:rsidRPr="00284463" w:rsidRDefault="001A05B3" w:rsidP="00B06151">
            <w:pPr>
              <w:jc w:val="both"/>
              <w:rPr>
                <w:color w:val="000000"/>
                <w:lang w:val="cs-CZ"/>
              </w:rPr>
            </w:pPr>
            <w:r w:rsidRPr="00284463">
              <w:rPr>
                <w:color w:val="000000"/>
                <w:lang w:val="cs-CZ"/>
              </w:rPr>
              <w:t>239</w:t>
            </w:r>
          </w:p>
        </w:tc>
        <w:tc>
          <w:tcPr>
            <w:tcW w:w="721" w:type="dxa"/>
            <w:tcBorders>
              <w:top w:val="double" w:sz="4" w:space="0" w:color="auto"/>
            </w:tcBorders>
            <w:shd w:val="clear" w:color="auto" w:fill="auto"/>
            <w:vAlign w:val="center"/>
          </w:tcPr>
          <w:p w14:paraId="3B922423" w14:textId="77777777" w:rsidR="001A05B3" w:rsidRPr="00284463" w:rsidRDefault="001A05B3" w:rsidP="00B06151">
            <w:pPr>
              <w:jc w:val="both"/>
              <w:rPr>
                <w:color w:val="000000"/>
                <w:lang w:val="cs-CZ"/>
              </w:rPr>
            </w:pPr>
            <w:r w:rsidRPr="00284463">
              <w:rPr>
                <w:color w:val="000000"/>
                <w:lang w:val="cs-CZ"/>
              </w:rPr>
              <w:t>202</w:t>
            </w:r>
          </w:p>
        </w:tc>
      </w:tr>
    </w:tbl>
    <w:p w14:paraId="2574C252" w14:textId="77777777" w:rsidR="001A05B3" w:rsidRPr="00284463" w:rsidRDefault="001A05B3" w:rsidP="001A05B3">
      <w:pPr>
        <w:jc w:val="center"/>
        <w:rPr>
          <w:color w:val="000000"/>
          <w:lang w:val="cs-CZ"/>
        </w:rPr>
      </w:pPr>
    </w:p>
    <w:p w14:paraId="077345C5" w14:textId="30AB5967" w:rsidR="001A05B3" w:rsidRPr="00284463" w:rsidRDefault="001A05B3" w:rsidP="001A05B3">
      <w:pPr>
        <w:jc w:val="both"/>
        <w:rPr>
          <w:b/>
          <w:color w:val="000000"/>
          <w:u w:val="single"/>
          <w:lang w:val="cs-CZ"/>
        </w:rPr>
      </w:pPr>
      <w:r w:rsidRPr="00284463">
        <w:rPr>
          <w:b/>
          <w:color w:val="000000"/>
          <w:u w:val="single"/>
          <w:lang w:val="cs-CZ"/>
        </w:rPr>
        <w:t>Střední vzdělávání s maturitní zkouškou VPŠ a SPŠ MV v Holešově</w:t>
      </w:r>
    </w:p>
    <w:p w14:paraId="6C48423F" w14:textId="77777777" w:rsidR="001A05B3" w:rsidRPr="00284463" w:rsidRDefault="001A05B3" w:rsidP="001A05B3">
      <w:pPr>
        <w:jc w:val="center"/>
        <w:rPr>
          <w:color w:val="000000"/>
          <w:lang w:val="cs-CZ"/>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63"/>
        <w:gridCol w:w="909"/>
        <w:gridCol w:w="763"/>
        <w:gridCol w:w="909"/>
        <w:gridCol w:w="763"/>
        <w:gridCol w:w="909"/>
        <w:gridCol w:w="763"/>
        <w:gridCol w:w="909"/>
        <w:gridCol w:w="763"/>
        <w:gridCol w:w="909"/>
        <w:gridCol w:w="763"/>
      </w:tblGrid>
      <w:tr w:rsidR="001A05B3" w:rsidRPr="00284463" w14:paraId="21857079" w14:textId="77777777" w:rsidTr="00B06151">
        <w:tc>
          <w:tcPr>
            <w:tcW w:w="4832" w:type="dxa"/>
            <w:gridSpan w:val="6"/>
            <w:shd w:val="clear" w:color="auto" w:fill="auto"/>
          </w:tcPr>
          <w:p w14:paraId="2B22671F" w14:textId="77777777" w:rsidR="001A05B3" w:rsidRPr="00284463" w:rsidRDefault="001A05B3" w:rsidP="00B06151">
            <w:pPr>
              <w:jc w:val="center"/>
              <w:rPr>
                <w:color w:val="000000"/>
                <w:lang w:val="cs-CZ"/>
              </w:rPr>
            </w:pPr>
            <w:r w:rsidRPr="00284463">
              <w:rPr>
                <w:color w:val="000000"/>
                <w:lang w:val="cs-CZ"/>
              </w:rPr>
              <w:t>2019/2020</w:t>
            </w:r>
          </w:p>
        </w:tc>
        <w:tc>
          <w:tcPr>
            <w:tcW w:w="4783" w:type="dxa"/>
            <w:gridSpan w:val="6"/>
            <w:shd w:val="clear" w:color="auto" w:fill="auto"/>
          </w:tcPr>
          <w:p w14:paraId="61DACA08" w14:textId="77777777" w:rsidR="001A05B3" w:rsidRPr="00284463" w:rsidRDefault="001A05B3" w:rsidP="00B06151">
            <w:pPr>
              <w:jc w:val="center"/>
              <w:rPr>
                <w:color w:val="000000"/>
                <w:lang w:val="cs-CZ"/>
              </w:rPr>
            </w:pPr>
            <w:r w:rsidRPr="00284463">
              <w:rPr>
                <w:color w:val="000000"/>
                <w:lang w:val="cs-CZ"/>
              </w:rPr>
              <w:t>2020/2021</w:t>
            </w:r>
          </w:p>
        </w:tc>
      </w:tr>
      <w:tr w:rsidR="001A05B3" w:rsidRPr="00284463" w14:paraId="1FA171DB" w14:textId="77777777" w:rsidTr="00B06151">
        <w:trPr>
          <w:trHeight w:val="1128"/>
        </w:trPr>
        <w:tc>
          <w:tcPr>
            <w:tcW w:w="1610" w:type="dxa"/>
            <w:gridSpan w:val="2"/>
            <w:shd w:val="clear" w:color="auto" w:fill="auto"/>
            <w:vAlign w:val="center"/>
          </w:tcPr>
          <w:p w14:paraId="17388416" w14:textId="77777777" w:rsidR="001A05B3" w:rsidRPr="00284463" w:rsidRDefault="001A05B3" w:rsidP="00B06151">
            <w:pPr>
              <w:jc w:val="center"/>
              <w:rPr>
                <w:color w:val="000000"/>
                <w:lang w:val="cs-CZ"/>
              </w:rPr>
            </w:pPr>
            <w:r w:rsidRPr="00284463">
              <w:rPr>
                <w:color w:val="000000"/>
                <w:lang w:val="cs-CZ"/>
              </w:rPr>
              <w:t>účast při přijímacím řízení</w:t>
            </w:r>
          </w:p>
        </w:tc>
        <w:tc>
          <w:tcPr>
            <w:tcW w:w="1611" w:type="dxa"/>
            <w:gridSpan w:val="2"/>
            <w:shd w:val="clear" w:color="auto" w:fill="auto"/>
            <w:vAlign w:val="center"/>
          </w:tcPr>
          <w:p w14:paraId="6E300752" w14:textId="77777777" w:rsidR="001A05B3" w:rsidRPr="00284463" w:rsidRDefault="001A05B3" w:rsidP="00B06151">
            <w:pPr>
              <w:jc w:val="center"/>
              <w:rPr>
                <w:color w:val="000000"/>
                <w:lang w:val="cs-CZ"/>
              </w:rPr>
            </w:pPr>
            <w:r w:rsidRPr="00284463">
              <w:rPr>
                <w:color w:val="000000"/>
                <w:lang w:val="cs-CZ"/>
              </w:rPr>
              <w:t>Přijato</w:t>
            </w:r>
          </w:p>
        </w:tc>
        <w:tc>
          <w:tcPr>
            <w:tcW w:w="1611" w:type="dxa"/>
            <w:gridSpan w:val="2"/>
            <w:shd w:val="clear" w:color="auto" w:fill="auto"/>
            <w:vAlign w:val="center"/>
          </w:tcPr>
          <w:p w14:paraId="4395D1FF" w14:textId="77777777" w:rsidR="001A05B3" w:rsidRPr="00284463" w:rsidRDefault="001A05B3" w:rsidP="00B06151">
            <w:pPr>
              <w:jc w:val="center"/>
              <w:rPr>
                <w:color w:val="000000"/>
                <w:lang w:val="cs-CZ"/>
              </w:rPr>
            </w:pPr>
          </w:p>
          <w:p w14:paraId="65A5EB31" w14:textId="77777777" w:rsidR="001A05B3" w:rsidRPr="00284463" w:rsidRDefault="001A05B3" w:rsidP="00B06151">
            <w:pPr>
              <w:jc w:val="center"/>
              <w:rPr>
                <w:color w:val="000000"/>
                <w:lang w:val="cs-CZ"/>
              </w:rPr>
            </w:pPr>
            <w:r w:rsidRPr="00284463">
              <w:rPr>
                <w:color w:val="000000"/>
                <w:lang w:val="cs-CZ"/>
              </w:rPr>
              <w:t>žáci</w:t>
            </w:r>
          </w:p>
          <w:p w14:paraId="293CA28D" w14:textId="77777777" w:rsidR="001A05B3" w:rsidRPr="00284463" w:rsidRDefault="001A05B3" w:rsidP="00B06151">
            <w:pPr>
              <w:jc w:val="center"/>
              <w:rPr>
                <w:color w:val="000000"/>
                <w:lang w:val="cs-CZ"/>
              </w:rPr>
            </w:pPr>
          </w:p>
        </w:tc>
        <w:tc>
          <w:tcPr>
            <w:tcW w:w="1611" w:type="dxa"/>
            <w:gridSpan w:val="2"/>
            <w:shd w:val="clear" w:color="auto" w:fill="auto"/>
            <w:vAlign w:val="center"/>
          </w:tcPr>
          <w:p w14:paraId="1634B658" w14:textId="77777777" w:rsidR="001A05B3" w:rsidRPr="00284463" w:rsidRDefault="001A05B3" w:rsidP="00B06151">
            <w:pPr>
              <w:jc w:val="center"/>
              <w:rPr>
                <w:color w:val="000000"/>
                <w:lang w:val="cs-CZ"/>
              </w:rPr>
            </w:pPr>
            <w:r w:rsidRPr="00284463">
              <w:rPr>
                <w:color w:val="000000"/>
                <w:lang w:val="cs-CZ"/>
              </w:rPr>
              <w:t>účast při přijímacím řízení</w:t>
            </w:r>
          </w:p>
        </w:tc>
        <w:tc>
          <w:tcPr>
            <w:tcW w:w="1611" w:type="dxa"/>
            <w:gridSpan w:val="2"/>
            <w:shd w:val="clear" w:color="auto" w:fill="auto"/>
            <w:vAlign w:val="center"/>
          </w:tcPr>
          <w:p w14:paraId="7F440D81" w14:textId="77777777" w:rsidR="001A05B3" w:rsidRPr="00284463" w:rsidRDefault="001A05B3" w:rsidP="00B06151">
            <w:pPr>
              <w:jc w:val="center"/>
              <w:rPr>
                <w:color w:val="000000"/>
                <w:lang w:val="cs-CZ"/>
              </w:rPr>
            </w:pPr>
            <w:r w:rsidRPr="00284463">
              <w:rPr>
                <w:color w:val="000000"/>
                <w:lang w:val="cs-CZ"/>
              </w:rPr>
              <w:t>přijato</w:t>
            </w:r>
          </w:p>
        </w:tc>
        <w:tc>
          <w:tcPr>
            <w:tcW w:w="1561" w:type="dxa"/>
            <w:gridSpan w:val="2"/>
            <w:shd w:val="clear" w:color="auto" w:fill="auto"/>
            <w:vAlign w:val="center"/>
          </w:tcPr>
          <w:p w14:paraId="70C70F43" w14:textId="77777777" w:rsidR="001A05B3" w:rsidRPr="00284463" w:rsidRDefault="001A05B3" w:rsidP="00B06151">
            <w:pPr>
              <w:jc w:val="center"/>
              <w:rPr>
                <w:color w:val="000000"/>
                <w:lang w:val="cs-CZ"/>
              </w:rPr>
            </w:pPr>
            <w:r w:rsidRPr="00284463">
              <w:rPr>
                <w:color w:val="000000"/>
                <w:lang w:val="cs-CZ"/>
              </w:rPr>
              <w:t>žáci</w:t>
            </w:r>
          </w:p>
        </w:tc>
      </w:tr>
      <w:tr w:rsidR="001A05B3" w:rsidRPr="00284463" w14:paraId="25E1F531" w14:textId="77777777" w:rsidTr="00B06151">
        <w:tc>
          <w:tcPr>
            <w:tcW w:w="889" w:type="dxa"/>
            <w:tcBorders>
              <w:bottom w:val="double" w:sz="4" w:space="0" w:color="auto"/>
            </w:tcBorders>
            <w:shd w:val="clear" w:color="auto" w:fill="auto"/>
          </w:tcPr>
          <w:p w14:paraId="0F99A36C"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141F16F1" w14:textId="77777777" w:rsidR="001A05B3" w:rsidRPr="00284463" w:rsidRDefault="001A05B3" w:rsidP="00B06151">
            <w:pPr>
              <w:jc w:val="both"/>
              <w:rPr>
                <w:color w:val="000000"/>
                <w:lang w:val="cs-CZ"/>
              </w:rPr>
            </w:pPr>
            <w:r w:rsidRPr="00284463">
              <w:rPr>
                <w:color w:val="000000"/>
                <w:lang w:val="cs-CZ"/>
              </w:rPr>
              <w:t>dívky</w:t>
            </w:r>
          </w:p>
        </w:tc>
        <w:tc>
          <w:tcPr>
            <w:tcW w:w="890" w:type="dxa"/>
            <w:tcBorders>
              <w:bottom w:val="double" w:sz="4" w:space="0" w:color="auto"/>
            </w:tcBorders>
            <w:shd w:val="clear" w:color="auto" w:fill="auto"/>
          </w:tcPr>
          <w:p w14:paraId="07BFD194"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64D7CCD1" w14:textId="77777777" w:rsidR="001A05B3" w:rsidRPr="00284463" w:rsidRDefault="001A05B3" w:rsidP="00B06151">
            <w:pPr>
              <w:jc w:val="both"/>
              <w:rPr>
                <w:color w:val="000000"/>
                <w:lang w:val="cs-CZ"/>
              </w:rPr>
            </w:pPr>
            <w:r w:rsidRPr="00284463">
              <w:rPr>
                <w:color w:val="000000"/>
                <w:lang w:val="cs-CZ"/>
              </w:rPr>
              <w:t>dívky</w:t>
            </w:r>
          </w:p>
        </w:tc>
        <w:tc>
          <w:tcPr>
            <w:tcW w:w="890" w:type="dxa"/>
            <w:tcBorders>
              <w:bottom w:val="double" w:sz="4" w:space="0" w:color="auto"/>
            </w:tcBorders>
            <w:shd w:val="clear" w:color="auto" w:fill="auto"/>
          </w:tcPr>
          <w:p w14:paraId="45D954A7"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3D9165A2" w14:textId="77777777" w:rsidR="001A05B3" w:rsidRPr="00284463" w:rsidRDefault="001A05B3" w:rsidP="00B06151">
            <w:pPr>
              <w:jc w:val="both"/>
              <w:rPr>
                <w:color w:val="000000"/>
                <w:lang w:val="cs-CZ"/>
              </w:rPr>
            </w:pPr>
            <w:r w:rsidRPr="00284463">
              <w:rPr>
                <w:color w:val="000000"/>
                <w:lang w:val="cs-CZ"/>
              </w:rPr>
              <w:t>dívky</w:t>
            </w:r>
          </w:p>
        </w:tc>
        <w:tc>
          <w:tcPr>
            <w:tcW w:w="890" w:type="dxa"/>
            <w:tcBorders>
              <w:bottom w:val="double" w:sz="4" w:space="0" w:color="auto"/>
            </w:tcBorders>
            <w:shd w:val="clear" w:color="auto" w:fill="auto"/>
          </w:tcPr>
          <w:p w14:paraId="0DF4BEF6"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014EA54F" w14:textId="77777777" w:rsidR="001A05B3" w:rsidRPr="00284463" w:rsidRDefault="001A05B3" w:rsidP="00B06151">
            <w:pPr>
              <w:jc w:val="both"/>
              <w:rPr>
                <w:color w:val="000000"/>
                <w:lang w:val="cs-CZ"/>
              </w:rPr>
            </w:pPr>
            <w:r w:rsidRPr="00284463">
              <w:rPr>
                <w:color w:val="000000"/>
                <w:lang w:val="cs-CZ"/>
              </w:rPr>
              <w:t>dívky</w:t>
            </w:r>
          </w:p>
        </w:tc>
        <w:tc>
          <w:tcPr>
            <w:tcW w:w="890" w:type="dxa"/>
            <w:tcBorders>
              <w:bottom w:val="double" w:sz="4" w:space="0" w:color="auto"/>
            </w:tcBorders>
            <w:shd w:val="clear" w:color="auto" w:fill="auto"/>
          </w:tcPr>
          <w:p w14:paraId="4128752E"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4824495E" w14:textId="77777777" w:rsidR="001A05B3" w:rsidRPr="00284463" w:rsidRDefault="001A05B3" w:rsidP="00B06151">
            <w:pPr>
              <w:jc w:val="both"/>
              <w:rPr>
                <w:color w:val="000000"/>
                <w:lang w:val="cs-CZ"/>
              </w:rPr>
            </w:pPr>
            <w:r w:rsidRPr="00284463">
              <w:rPr>
                <w:color w:val="000000"/>
                <w:lang w:val="cs-CZ"/>
              </w:rPr>
              <w:t>dívky</w:t>
            </w:r>
          </w:p>
        </w:tc>
        <w:tc>
          <w:tcPr>
            <w:tcW w:w="840" w:type="dxa"/>
            <w:tcBorders>
              <w:bottom w:val="double" w:sz="4" w:space="0" w:color="auto"/>
            </w:tcBorders>
            <w:shd w:val="clear" w:color="auto" w:fill="auto"/>
          </w:tcPr>
          <w:p w14:paraId="331F706B" w14:textId="77777777" w:rsidR="001A05B3" w:rsidRPr="00284463" w:rsidRDefault="001A05B3" w:rsidP="00B06151">
            <w:pPr>
              <w:jc w:val="both"/>
              <w:rPr>
                <w:color w:val="000000"/>
                <w:lang w:val="cs-CZ"/>
              </w:rPr>
            </w:pPr>
            <w:r w:rsidRPr="00284463">
              <w:rPr>
                <w:color w:val="000000"/>
                <w:lang w:val="cs-CZ"/>
              </w:rPr>
              <w:t>chlapci</w:t>
            </w:r>
          </w:p>
        </w:tc>
        <w:tc>
          <w:tcPr>
            <w:tcW w:w="721" w:type="dxa"/>
            <w:tcBorders>
              <w:bottom w:val="double" w:sz="4" w:space="0" w:color="auto"/>
            </w:tcBorders>
            <w:shd w:val="clear" w:color="auto" w:fill="auto"/>
          </w:tcPr>
          <w:p w14:paraId="58288778" w14:textId="77777777" w:rsidR="001A05B3" w:rsidRPr="00284463" w:rsidRDefault="001A05B3" w:rsidP="00B06151">
            <w:pPr>
              <w:jc w:val="both"/>
              <w:rPr>
                <w:color w:val="000000"/>
                <w:lang w:val="cs-CZ"/>
              </w:rPr>
            </w:pPr>
            <w:r w:rsidRPr="00284463">
              <w:rPr>
                <w:color w:val="000000"/>
                <w:lang w:val="cs-CZ"/>
              </w:rPr>
              <w:t>dívky</w:t>
            </w:r>
          </w:p>
        </w:tc>
      </w:tr>
      <w:tr w:rsidR="001A05B3" w:rsidRPr="00284463" w14:paraId="63835C9A" w14:textId="77777777" w:rsidTr="00B06151">
        <w:tc>
          <w:tcPr>
            <w:tcW w:w="889" w:type="dxa"/>
            <w:tcBorders>
              <w:top w:val="double" w:sz="4" w:space="0" w:color="auto"/>
            </w:tcBorders>
            <w:shd w:val="clear" w:color="auto" w:fill="auto"/>
            <w:vAlign w:val="center"/>
          </w:tcPr>
          <w:p w14:paraId="6888102C" w14:textId="77777777" w:rsidR="001A05B3" w:rsidRPr="00284463" w:rsidRDefault="001A05B3" w:rsidP="00B06151">
            <w:pPr>
              <w:jc w:val="both"/>
              <w:rPr>
                <w:color w:val="000000"/>
                <w:lang w:val="cs-CZ"/>
              </w:rPr>
            </w:pPr>
            <w:r w:rsidRPr="00284463">
              <w:rPr>
                <w:color w:val="000000"/>
                <w:lang w:val="cs-CZ"/>
              </w:rPr>
              <w:t>189</w:t>
            </w:r>
          </w:p>
        </w:tc>
        <w:tc>
          <w:tcPr>
            <w:tcW w:w="721" w:type="dxa"/>
            <w:tcBorders>
              <w:top w:val="double" w:sz="4" w:space="0" w:color="auto"/>
            </w:tcBorders>
            <w:shd w:val="clear" w:color="auto" w:fill="auto"/>
            <w:vAlign w:val="center"/>
          </w:tcPr>
          <w:p w14:paraId="46E14ABD" w14:textId="77777777" w:rsidR="001A05B3" w:rsidRPr="00284463" w:rsidRDefault="001A05B3" w:rsidP="00B06151">
            <w:pPr>
              <w:jc w:val="both"/>
              <w:rPr>
                <w:color w:val="000000"/>
                <w:lang w:val="cs-CZ"/>
              </w:rPr>
            </w:pPr>
            <w:r w:rsidRPr="00284463">
              <w:rPr>
                <w:color w:val="000000"/>
                <w:lang w:val="cs-CZ"/>
              </w:rPr>
              <w:t>222</w:t>
            </w:r>
          </w:p>
        </w:tc>
        <w:tc>
          <w:tcPr>
            <w:tcW w:w="890" w:type="dxa"/>
            <w:tcBorders>
              <w:top w:val="double" w:sz="4" w:space="0" w:color="auto"/>
            </w:tcBorders>
            <w:shd w:val="clear" w:color="auto" w:fill="auto"/>
            <w:vAlign w:val="center"/>
          </w:tcPr>
          <w:p w14:paraId="4BFD1DEF" w14:textId="77777777" w:rsidR="001A05B3" w:rsidRPr="00284463" w:rsidRDefault="001A05B3" w:rsidP="00B06151">
            <w:pPr>
              <w:jc w:val="both"/>
              <w:rPr>
                <w:color w:val="000000"/>
                <w:lang w:val="cs-CZ"/>
              </w:rPr>
            </w:pPr>
            <w:r w:rsidRPr="00284463">
              <w:rPr>
                <w:color w:val="000000"/>
                <w:lang w:val="cs-CZ"/>
              </w:rPr>
              <w:t>54</w:t>
            </w:r>
          </w:p>
        </w:tc>
        <w:tc>
          <w:tcPr>
            <w:tcW w:w="721" w:type="dxa"/>
            <w:tcBorders>
              <w:top w:val="double" w:sz="4" w:space="0" w:color="auto"/>
            </w:tcBorders>
            <w:shd w:val="clear" w:color="auto" w:fill="auto"/>
            <w:vAlign w:val="center"/>
          </w:tcPr>
          <w:p w14:paraId="48723B88" w14:textId="77777777" w:rsidR="001A05B3" w:rsidRPr="00284463" w:rsidRDefault="001A05B3" w:rsidP="00B06151">
            <w:pPr>
              <w:jc w:val="both"/>
              <w:rPr>
                <w:color w:val="000000"/>
                <w:lang w:val="cs-CZ"/>
              </w:rPr>
            </w:pPr>
            <w:r w:rsidRPr="00284463">
              <w:rPr>
                <w:color w:val="000000"/>
                <w:lang w:val="cs-CZ"/>
              </w:rPr>
              <w:t>65</w:t>
            </w:r>
          </w:p>
        </w:tc>
        <w:tc>
          <w:tcPr>
            <w:tcW w:w="890" w:type="dxa"/>
            <w:tcBorders>
              <w:top w:val="double" w:sz="4" w:space="0" w:color="auto"/>
            </w:tcBorders>
            <w:shd w:val="clear" w:color="auto" w:fill="auto"/>
            <w:vAlign w:val="center"/>
          </w:tcPr>
          <w:p w14:paraId="6162A4D9" w14:textId="77777777" w:rsidR="001A05B3" w:rsidRPr="00284463" w:rsidRDefault="001A05B3" w:rsidP="00B06151">
            <w:pPr>
              <w:jc w:val="both"/>
              <w:rPr>
                <w:color w:val="000000"/>
                <w:lang w:val="cs-CZ"/>
              </w:rPr>
            </w:pPr>
            <w:r w:rsidRPr="00284463">
              <w:rPr>
                <w:color w:val="000000"/>
                <w:lang w:val="cs-CZ"/>
              </w:rPr>
              <w:t>217</w:t>
            </w:r>
          </w:p>
        </w:tc>
        <w:tc>
          <w:tcPr>
            <w:tcW w:w="721" w:type="dxa"/>
            <w:tcBorders>
              <w:top w:val="double" w:sz="4" w:space="0" w:color="auto"/>
            </w:tcBorders>
            <w:shd w:val="clear" w:color="auto" w:fill="auto"/>
            <w:vAlign w:val="center"/>
          </w:tcPr>
          <w:p w14:paraId="205B0DDF" w14:textId="77777777" w:rsidR="001A05B3" w:rsidRPr="00284463" w:rsidRDefault="001A05B3" w:rsidP="00B06151">
            <w:pPr>
              <w:jc w:val="both"/>
              <w:rPr>
                <w:color w:val="000000"/>
                <w:lang w:val="cs-CZ"/>
              </w:rPr>
            </w:pPr>
            <w:r w:rsidRPr="00284463">
              <w:rPr>
                <w:color w:val="000000"/>
                <w:lang w:val="cs-CZ"/>
              </w:rPr>
              <w:t>214</w:t>
            </w:r>
          </w:p>
        </w:tc>
        <w:tc>
          <w:tcPr>
            <w:tcW w:w="890" w:type="dxa"/>
            <w:tcBorders>
              <w:top w:val="double" w:sz="4" w:space="0" w:color="auto"/>
            </w:tcBorders>
            <w:shd w:val="clear" w:color="auto" w:fill="auto"/>
            <w:vAlign w:val="center"/>
          </w:tcPr>
          <w:p w14:paraId="602FF336" w14:textId="77777777" w:rsidR="001A05B3" w:rsidRPr="00284463" w:rsidRDefault="001A05B3" w:rsidP="00B06151">
            <w:pPr>
              <w:jc w:val="both"/>
              <w:rPr>
                <w:color w:val="000000"/>
                <w:lang w:val="cs-CZ"/>
              </w:rPr>
            </w:pPr>
            <w:r w:rsidRPr="00284463">
              <w:rPr>
                <w:color w:val="000000"/>
                <w:lang w:val="cs-CZ"/>
              </w:rPr>
              <w:t>187</w:t>
            </w:r>
          </w:p>
        </w:tc>
        <w:tc>
          <w:tcPr>
            <w:tcW w:w="721" w:type="dxa"/>
            <w:tcBorders>
              <w:top w:val="double" w:sz="4" w:space="0" w:color="auto"/>
            </w:tcBorders>
            <w:shd w:val="clear" w:color="auto" w:fill="auto"/>
            <w:vAlign w:val="center"/>
          </w:tcPr>
          <w:p w14:paraId="2A92383C" w14:textId="77777777" w:rsidR="001A05B3" w:rsidRPr="00284463" w:rsidRDefault="001A05B3" w:rsidP="00B06151">
            <w:pPr>
              <w:jc w:val="both"/>
              <w:rPr>
                <w:color w:val="000000"/>
                <w:lang w:val="cs-CZ"/>
              </w:rPr>
            </w:pPr>
            <w:r w:rsidRPr="00284463">
              <w:rPr>
                <w:color w:val="000000"/>
                <w:lang w:val="cs-CZ"/>
              </w:rPr>
              <w:t>227</w:t>
            </w:r>
          </w:p>
        </w:tc>
        <w:tc>
          <w:tcPr>
            <w:tcW w:w="890" w:type="dxa"/>
            <w:tcBorders>
              <w:top w:val="double" w:sz="4" w:space="0" w:color="auto"/>
            </w:tcBorders>
            <w:shd w:val="clear" w:color="auto" w:fill="auto"/>
            <w:vAlign w:val="center"/>
          </w:tcPr>
          <w:p w14:paraId="46841290" w14:textId="77777777" w:rsidR="001A05B3" w:rsidRPr="00284463" w:rsidRDefault="001A05B3" w:rsidP="00B06151">
            <w:pPr>
              <w:jc w:val="both"/>
              <w:rPr>
                <w:color w:val="000000"/>
                <w:lang w:val="cs-CZ"/>
              </w:rPr>
            </w:pPr>
            <w:r w:rsidRPr="00284463">
              <w:rPr>
                <w:color w:val="000000"/>
                <w:lang w:val="cs-CZ"/>
              </w:rPr>
              <w:t>60</w:t>
            </w:r>
          </w:p>
        </w:tc>
        <w:tc>
          <w:tcPr>
            <w:tcW w:w="721" w:type="dxa"/>
            <w:tcBorders>
              <w:top w:val="double" w:sz="4" w:space="0" w:color="auto"/>
            </w:tcBorders>
            <w:shd w:val="clear" w:color="auto" w:fill="auto"/>
            <w:vAlign w:val="center"/>
          </w:tcPr>
          <w:p w14:paraId="53C90410" w14:textId="77777777" w:rsidR="001A05B3" w:rsidRPr="00284463" w:rsidRDefault="001A05B3" w:rsidP="00B06151">
            <w:pPr>
              <w:jc w:val="both"/>
              <w:rPr>
                <w:color w:val="000000"/>
                <w:lang w:val="cs-CZ"/>
              </w:rPr>
            </w:pPr>
            <w:r w:rsidRPr="00284463">
              <w:rPr>
                <w:color w:val="000000"/>
                <w:lang w:val="cs-CZ"/>
              </w:rPr>
              <w:t>60</w:t>
            </w:r>
          </w:p>
        </w:tc>
        <w:tc>
          <w:tcPr>
            <w:tcW w:w="840" w:type="dxa"/>
            <w:tcBorders>
              <w:top w:val="double" w:sz="4" w:space="0" w:color="auto"/>
            </w:tcBorders>
            <w:shd w:val="clear" w:color="auto" w:fill="auto"/>
            <w:vAlign w:val="center"/>
          </w:tcPr>
          <w:p w14:paraId="61ADCD46" w14:textId="77777777" w:rsidR="001A05B3" w:rsidRPr="00284463" w:rsidRDefault="001A05B3" w:rsidP="00B06151">
            <w:pPr>
              <w:jc w:val="both"/>
              <w:rPr>
                <w:color w:val="000000"/>
                <w:lang w:val="cs-CZ"/>
              </w:rPr>
            </w:pPr>
            <w:r w:rsidRPr="00284463">
              <w:rPr>
                <w:color w:val="000000"/>
                <w:lang w:val="cs-CZ"/>
              </w:rPr>
              <w:t>225</w:t>
            </w:r>
          </w:p>
        </w:tc>
        <w:tc>
          <w:tcPr>
            <w:tcW w:w="721" w:type="dxa"/>
            <w:tcBorders>
              <w:top w:val="double" w:sz="4" w:space="0" w:color="auto"/>
            </w:tcBorders>
            <w:shd w:val="clear" w:color="auto" w:fill="auto"/>
            <w:vAlign w:val="center"/>
          </w:tcPr>
          <w:p w14:paraId="63A8F31C" w14:textId="77777777" w:rsidR="001A05B3" w:rsidRPr="00284463" w:rsidRDefault="001A05B3" w:rsidP="00B06151">
            <w:pPr>
              <w:jc w:val="both"/>
              <w:rPr>
                <w:color w:val="000000"/>
                <w:lang w:val="cs-CZ"/>
              </w:rPr>
            </w:pPr>
            <w:r w:rsidRPr="00284463">
              <w:rPr>
                <w:color w:val="000000"/>
                <w:lang w:val="cs-CZ"/>
              </w:rPr>
              <w:t>238</w:t>
            </w:r>
          </w:p>
        </w:tc>
      </w:tr>
    </w:tbl>
    <w:p w14:paraId="41845B35" w14:textId="77777777" w:rsidR="001A05B3" w:rsidRPr="00284463" w:rsidRDefault="001A05B3" w:rsidP="001A05B3">
      <w:pPr>
        <w:jc w:val="center"/>
        <w:rPr>
          <w:color w:val="000000"/>
          <w:lang w:val="cs-CZ"/>
        </w:rPr>
      </w:pPr>
    </w:p>
    <w:p w14:paraId="0DABE33D" w14:textId="63CC2BE2" w:rsidR="001A05B3" w:rsidRPr="00284463" w:rsidRDefault="001A05B3" w:rsidP="001A05B3">
      <w:pPr>
        <w:jc w:val="both"/>
        <w:rPr>
          <w:b/>
          <w:color w:val="000000"/>
          <w:u w:val="single"/>
          <w:lang w:val="cs-CZ"/>
        </w:rPr>
      </w:pPr>
      <w:r w:rsidRPr="00284463">
        <w:rPr>
          <w:b/>
          <w:color w:val="000000"/>
          <w:u w:val="single"/>
          <w:lang w:val="cs-CZ"/>
        </w:rPr>
        <w:t>Vyšší odborné vzdělávání</w:t>
      </w:r>
    </w:p>
    <w:p w14:paraId="2ABC6780" w14:textId="77777777" w:rsidR="001A05B3" w:rsidRPr="00284463" w:rsidRDefault="001A05B3" w:rsidP="001A05B3">
      <w:pPr>
        <w:jc w:val="both"/>
        <w:rPr>
          <w:b/>
          <w:color w:val="000000"/>
          <w:u w:val="single"/>
          <w:lang w:val="cs-CZ"/>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1418"/>
        <w:gridCol w:w="1984"/>
        <w:gridCol w:w="1418"/>
      </w:tblGrid>
      <w:tr w:rsidR="001A05B3" w:rsidRPr="00284463" w14:paraId="2607A750" w14:textId="77777777" w:rsidTr="00B06151">
        <w:tc>
          <w:tcPr>
            <w:tcW w:w="2977" w:type="dxa"/>
            <w:vMerge w:val="restart"/>
            <w:shd w:val="clear" w:color="auto" w:fill="auto"/>
            <w:vAlign w:val="center"/>
          </w:tcPr>
          <w:p w14:paraId="16394C9E" w14:textId="77777777" w:rsidR="001A05B3" w:rsidRPr="00284463" w:rsidRDefault="001A05B3" w:rsidP="00B06151">
            <w:pPr>
              <w:jc w:val="both"/>
              <w:rPr>
                <w:color w:val="000000"/>
                <w:lang w:val="cs-CZ"/>
              </w:rPr>
            </w:pPr>
            <w:r w:rsidRPr="00284463">
              <w:rPr>
                <w:color w:val="000000"/>
                <w:lang w:val="cs-CZ"/>
              </w:rPr>
              <w:t>Škola</w:t>
            </w:r>
          </w:p>
        </w:tc>
        <w:tc>
          <w:tcPr>
            <w:tcW w:w="3261" w:type="dxa"/>
            <w:gridSpan w:val="2"/>
            <w:shd w:val="clear" w:color="auto" w:fill="auto"/>
            <w:vAlign w:val="center"/>
          </w:tcPr>
          <w:p w14:paraId="2F3CF861" w14:textId="77777777" w:rsidR="001A05B3" w:rsidRPr="00284463" w:rsidRDefault="001A05B3" w:rsidP="00B06151">
            <w:pPr>
              <w:jc w:val="center"/>
              <w:rPr>
                <w:color w:val="000000"/>
                <w:lang w:val="cs-CZ"/>
              </w:rPr>
            </w:pPr>
            <w:r w:rsidRPr="00284463">
              <w:rPr>
                <w:color w:val="000000"/>
                <w:lang w:val="cs-CZ"/>
              </w:rPr>
              <w:t>2019/2020</w:t>
            </w:r>
          </w:p>
        </w:tc>
        <w:tc>
          <w:tcPr>
            <w:tcW w:w="3402" w:type="dxa"/>
            <w:gridSpan w:val="2"/>
            <w:shd w:val="clear" w:color="auto" w:fill="auto"/>
            <w:vAlign w:val="center"/>
          </w:tcPr>
          <w:p w14:paraId="511176CE" w14:textId="77777777" w:rsidR="001A05B3" w:rsidRPr="00284463" w:rsidRDefault="001A05B3" w:rsidP="00B06151">
            <w:pPr>
              <w:jc w:val="center"/>
              <w:rPr>
                <w:color w:val="000000"/>
                <w:lang w:val="cs-CZ"/>
              </w:rPr>
            </w:pPr>
            <w:r w:rsidRPr="00284463">
              <w:rPr>
                <w:color w:val="000000"/>
                <w:lang w:val="cs-CZ"/>
              </w:rPr>
              <w:t>2020/2021</w:t>
            </w:r>
          </w:p>
        </w:tc>
      </w:tr>
      <w:tr w:rsidR="001A05B3" w:rsidRPr="00284463" w14:paraId="6CDCF16D" w14:textId="77777777" w:rsidTr="00B06151">
        <w:tc>
          <w:tcPr>
            <w:tcW w:w="2977" w:type="dxa"/>
            <w:vMerge/>
            <w:tcBorders>
              <w:bottom w:val="double" w:sz="4" w:space="0" w:color="auto"/>
            </w:tcBorders>
            <w:shd w:val="clear" w:color="auto" w:fill="auto"/>
          </w:tcPr>
          <w:p w14:paraId="0EAA5FD0" w14:textId="77777777" w:rsidR="001A05B3" w:rsidRPr="00284463" w:rsidRDefault="001A05B3" w:rsidP="00B06151">
            <w:pPr>
              <w:jc w:val="both"/>
              <w:rPr>
                <w:color w:val="000000"/>
                <w:lang w:val="cs-CZ"/>
              </w:rPr>
            </w:pPr>
          </w:p>
        </w:tc>
        <w:tc>
          <w:tcPr>
            <w:tcW w:w="1843" w:type="dxa"/>
            <w:tcBorders>
              <w:bottom w:val="double" w:sz="4" w:space="0" w:color="auto"/>
            </w:tcBorders>
            <w:shd w:val="clear" w:color="auto" w:fill="auto"/>
            <w:vAlign w:val="center"/>
          </w:tcPr>
          <w:p w14:paraId="392A676F" w14:textId="77777777" w:rsidR="001A05B3" w:rsidRPr="00284463" w:rsidRDefault="001A05B3" w:rsidP="00B06151">
            <w:pPr>
              <w:jc w:val="center"/>
              <w:rPr>
                <w:color w:val="000000"/>
                <w:lang w:val="cs-CZ"/>
              </w:rPr>
            </w:pPr>
            <w:r w:rsidRPr="00284463">
              <w:rPr>
                <w:color w:val="000000"/>
                <w:lang w:val="cs-CZ"/>
              </w:rPr>
              <w:t>Přihlášeno celkem</w:t>
            </w:r>
          </w:p>
        </w:tc>
        <w:tc>
          <w:tcPr>
            <w:tcW w:w="1418" w:type="dxa"/>
            <w:tcBorders>
              <w:bottom w:val="double" w:sz="4" w:space="0" w:color="auto"/>
            </w:tcBorders>
            <w:shd w:val="clear" w:color="auto" w:fill="auto"/>
            <w:vAlign w:val="center"/>
          </w:tcPr>
          <w:p w14:paraId="2ACEE1FF" w14:textId="77777777" w:rsidR="001A05B3" w:rsidRPr="00284463" w:rsidRDefault="001A05B3" w:rsidP="00B06151">
            <w:pPr>
              <w:jc w:val="center"/>
              <w:rPr>
                <w:color w:val="000000"/>
                <w:lang w:val="cs-CZ"/>
              </w:rPr>
            </w:pPr>
            <w:r w:rsidRPr="00284463">
              <w:rPr>
                <w:color w:val="000000"/>
                <w:lang w:val="cs-CZ"/>
              </w:rPr>
              <w:t>z toho ženy</w:t>
            </w:r>
          </w:p>
        </w:tc>
        <w:tc>
          <w:tcPr>
            <w:tcW w:w="1984" w:type="dxa"/>
            <w:tcBorders>
              <w:bottom w:val="double" w:sz="4" w:space="0" w:color="auto"/>
            </w:tcBorders>
            <w:shd w:val="clear" w:color="auto" w:fill="auto"/>
            <w:vAlign w:val="center"/>
          </w:tcPr>
          <w:p w14:paraId="5DC0B0DA" w14:textId="77777777" w:rsidR="001A05B3" w:rsidRPr="00284463" w:rsidRDefault="001A05B3" w:rsidP="00B06151">
            <w:pPr>
              <w:jc w:val="center"/>
              <w:rPr>
                <w:color w:val="000000"/>
                <w:lang w:val="cs-CZ"/>
              </w:rPr>
            </w:pPr>
            <w:r w:rsidRPr="00284463">
              <w:rPr>
                <w:color w:val="000000"/>
                <w:lang w:val="cs-CZ"/>
              </w:rPr>
              <w:t>Přihlášeno celkem</w:t>
            </w:r>
          </w:p>
        </w:tc>
        <w:tc>
          <w:tcPr>
            <w:tcW w:w="1418" w:type="dxa"/>
            <w:tcBorders>
              <w:bottom w:val="double" w:sz="4" w:space="0" w:color="auto"/>
            </w:tcBorders>
            <w:shd w:val="clear" w:color="auto" w:fill="auto"/>
            <w:vAlign w:val="center"/>
          </w:tcPr>
          <w:p w14:paraId="444D8465" w14:textId="77777777" w:rsidR="001A05B3" w:rsidRPr="00284463" w:rsidRDefault="001A05B3" w:rsidP="00B06151">
            <w:pPr>
              <w:jc w:val="center"/>
              <w:rPr>
                <w:color w:val="000000"/>
                <w:lang w:val="cs-CZ"/>
              </w:rPr>
            </w:pPr>
            <w:r w:rsidRPr="00284463">
              <w:rPr>
                <w:color w:val="000000"/>
                <w:lang w:val="cs-CZ"/>
              </w:rPr>
              <w:t>z toho ženy</w:t>
            </w:r>
          </w:p>
        </w:tc>
      </w:tr>
      <w:tr w:rsidR="001A05B3" w:rsidRPr="00284463" w14:paraId="7D040651" w14:textId="77777777" w:rsidTr="00B06151">
        <w:tc>
          <w:tcPr>
            <w:tcW w:w="2977" w:type="dxa"/>
            <w:tcBorders>
              <w:top w:val="double" w:sz="4" w:space="0" w:color="auto"/>
            </w:tcBorders>
            <w:shd w:val="clear" w:color="auto" w:fill="auto"/>
          </w:tcPr>
          <w:p w14:paraId="7326E186" w14:textId="77777777" w:rsidR="001A05B3" w:rsidRPr="00284463" w:rsidRDefault="001A05B3" w:rsidP="00B06151">
            <w:pPr>
              <w:jc w:val="both"/>
              <w:rPr>
                <w:color w:val="000000"/>
                <w:lang w:val="cs-CZ"/>
              </w:rPr>
            </w:pPr>
            <w:r w:rsidRPr="00284463">
              <w:rPr>
                <w:color w:val="000000"/>
                <w:lang w:val="cs-CZ"/>
              </w:rPr>
              <w:t>VPŠ a SPŠ MV v Praze</w:t>
            </w:r>
          </w:p>
        </w:tc>
        <w:tc>
          <w:tcPr>
            <w:tcW w:w="1843" w:type="dxa"/>
            <w:tcBorders>
              <w:top w:val="double" w:sz="4" w:space="0" w:color="auto"/>
            </w:tcBorders>
            <w:shd w:val="clear" w:color="auto" w:fill="auto"/>
            <w:vAlign w:val="center"/>
          </w:tcPr>
          <w:p w14:paraId="35A6C67E" w14:textId="77777777" w:rsidR="001A05B3" w:rsidRPr="00284463" w:rsidRDefault="001A05B3" w:rsidP="00B06151">
            <w:pPr>
              <w:jc w:val="both"/>
              <w:rPr>
                <w:color w:val="000000"/>
                <w:lang w:val="cs-CZ"/>
              </w:rPr>
            </w:pPr>
            <w:r w:rsidRPr="00284463">
              <w:rPr>
                <w:color w:val="000000"/>
                <w:lang w:val="cs-CZ"/>
              </w:rPr>
              <w:t>62</w:t>
            </w:r>
          </w:p>
        </w:tc>
        <w:tc>
          <w:tcPr>
            <w:tcW w:w="1418" w:type="dxa"/>
            <w:tcBorders>
              <w:top w:val="double" w:sz="4" w:space="0" w:color="auto"/>
            </w:tcBorders>
            <w:shd w:val="clear" w:color="auto" w:fill="auto"/>
            <w:vAlign w:val="center"/>
          </w:tcPr>
          <w:p w14:paraId="5A19B081" w14:textId="77777777" w:rsidR="001A05B3" w:rsidRPr="00284463" w:rsidRDefault="001A05B3" w:rsidP="00B06151">
            <w:pPr>
              <w:jc w:val="both"/>
              <w:rPr>
                <w:color w:val="000000"/>
                <w:lang w:val="cs-CZ"/>
              </w:rPr>
            </w:pPr>
            <w:r w:rsidRPr="00284463">
              <w:rPr>
                <w:color w:val="000000"/>
                <w:lang w:val="cs-CZ"/>
              </w:rPr>
              <w:t>18</w:t>
            </w:r>
          </w:p>
        </w:tc>
        <w:tc>
          <w:tcPr>
            <w:tcW w:w="1984" w:type="dxa"/>
            <w:tcBorders>
              <w:top w:val="double" w:sz="4" w:space="0" w:color="auto"/>
            </w:tcBorders>
            <w:shd w:val="clear" w:color="auto" w:fill="auto"/>
            <w:vAlign w:val="center"/>
          </w:tcPr>
          <w:p w14:paraId="269531D0" w14:textId="77777777" w:rsidR="001A05B3" w:rsidRPr="00284463" w:rsidRDefault="001A05B3" w:rsidP="00B06151">
            <w:pPr>
              <w:jc w:val="both"/>
              <w:rPr>
                <w:color w:val="000000"/>
                <w:lang w:val="cs-CZ"/>
              </w:rPr>
            </w:pPr>
            <w:r w:rsidRPr="00284463">
              <w:rPr>
                <w:color w:val="000000"/>
                <w:lang w:val="cs-CZ"/>
              </w:rPr>
              <w:t>64</w:t>
            </w:r>
          </w:p>
        </w:tc>
        <w:tc>
          <w:tcPr>
            <w:tcW w:w="1418" w:type="dxa"/>
            <w:tcBorders>
              <w:top w:val="double" w:sz="4" w:space="0" w:color="auto"/>
            </w:tcBorders>
            <w:shd w:val="clear" w:color="auto" w:fill="auto"/>
            <w:vAlign w:val="center"/>
          </w:tcPr>
          <w:p w14:paraId="44A4B016" w14:textId="77777777" w:rsidR="001A05B3" w:rsidRPr="00284463" w:rsidRDefault="001A05B3" w:rsidP="00B06151">
            <w:pPr>
              <w:jc w:val="both"/>
              <w:rPr>
                <w:color w:val="000000"/>
                <w:lang w:val="cs-CZ"/>
              </w:rPr>
            </w:pPr>
            <w:r w:rsidRPr="00284463">
              <w:rPr>
                <w:color w:val="000000"/>
                <w:lang w:val="cs-CZ"/>
              </w:rPr>
              <w:t>22</w:t>
            </w:r>
          </w:p>
        </w:tc>
      </w:tr>
      <w:tr w:rsidR="001A05B3" w:rsidRPr="00284463" w14:paraId="4778B171" w14:textId="77777777" w:rsidTr="00B06151">
        <w:tc>
          <w:tcPr>
            <w:tcW w:w="2977" w:type="dxa"/>
            <w:shd w:val="clear" w:color="auto" w:fill="auto"/>
          </w:tcPr>
          <w:p w14:paraId="1E7358D3" w14:textId="77777777" w:rsidR="001A05B3" w:rsidRPr="00284463" w:rsidRDefault="001A05B3" w:rsidP="00B06151">
            <w:pPr>
              <w:jc w:val="both"/>
              <w:rPr>
                <w:color w:val="000000"/>
                <w:lang w:val="cs-CZ"/>
              </w:rPr>
            </w:pPr>
            <w:r w:rsidRPr="00284463">
              <w:rPr>
                <w:color w:val="000000"/>
                <w:lang w:val="cs-CZ"/>
              </w:rPr>
              <w:t>VPŠ a SPŠ MV v Holešově</w:t>
            </w:r>
          </w:p>
        </w:tc>
        <w:tc>
          <w:tcPr>
            <w:tcW w:w="1843" w:type="dxa"/>
            <w:shd w:val="clear" w:color="auto" w:fill="auto"/>
            <w:vAlign w:val="center"/>
          </w:tcPr>
          <w:p w14:paraId="4A2352D2" w14:textId="77777777" w:rsidR="001A05B3" w:rsidRPr="00284463" w:rsidRDefault="001A05B3" w:rsidP="00B06151">
            <w:pPr>
              <w:jc w:val="both"/>
              <w:rPr>
                <w:color w:val="000000"/>
                <w:lang w:val="cs-CZ"/>
              </w:rPr>
            </w:pPr>
            <w:r w:rsidRPr="00284463">
              <w:rPr>
                <w:color w:val="000000"/>
                <w:lang w:val="cs-CZ"/>
              </w:rPr>
              <w:t>54</w:t>
            </w:r>
          </w:p>
        </w:tc>
        <w:tc>
          <w:tcPr>
            <w:tcW w:w="1418" w:type="dxa"/>
            <w:shd w:val="clear" w:color="auto" w:fill="auto"/>
            <w:vAlign w:val="center"/>
          </w:tcPr>
          <w:p w14:paraId="482D16A8" w14:textId="77777777" w:rsidR="001A05B3" w:rsidRPr="00284463" w:rsidRDefault="001A05B3" w:rsidP="00B06151">
            <w:pPr>
              <w:jc w:val="both"/>
              <w:rPr>
                <w:color w:val="000000"/>
                <w:lang w:val="cs-CZ"/>
              </w:rPr>
            </w:pPr>
            <w:r w:rsidRPr="00284463">
              <w:rPr>
                <w:color w:val="000000"/>
                <w:lang w:val="cs-CZ"/>
              </w:rPr>
              <w:t>5</w:t>
            </w:r>
          </w:p>
        </w:tc>
        <w:tc>
          <w:tcPr>
            <w:tcW w:w="1984" w:type="dxa"/>
            <w:shd w:val="clear" w:color="auto" w:fill="auto"/>
            <w:vAlign w:val="center"/>
          </w:tcPr>
          <w:p w14:paraId="04CB191B" w14:textId="77777777" w:rsidR="001A05B3" w:rsidRPr="00284463" w:rsidRDefault="001A05B3" w:rsidP="00B06151">
            <w:pPr>
              <w:jc w:val="both"/>
              <w:rPr>
                <w:color w:val="000000"/>
                <w:lang w:val="cs-CZ"/>
              </w:rPr>
            </w:pPr>
            <w:r w:rsidRPr="00284463">
              <w:rPr>
                <w:color w:val="000000"/>
                <w:lang w:val="cs-CZ"/>
              </w:rPr>
              <w:t>68</w:t>
            </w:r>
          </w:p>
        </w:tc>
        <w:tc>
          <w:tcPr>
            <w:tcW w:w="1418" w:type="dxa"/>
            <w:shd w:val="clear" w:color="auto" w:fill="auto"/>
            <w:vAlign w:val="center"/>
          </w:tcPr>
          <w:p w14:paraId="7E8ECDC3" w14:textId="77777777" w:rsidR="001A05B3" w:rsidRPr="00284463" w:rsidRDefault="001A05B3" w:rsidP="00B06151">
            <w:pPr>
              <w:jc w:val="both"/>
              <w:rPr>
                <w:color w:val="000000"/>
                <w:lang w:val="cs-CZ"/>
              </w:rPr>
            </w:pPr>
            <w:r w:rsidRPr="00284463">
              <w:rPr>
                <w:color w:val="000000"/>
                <w:lang w:val="cs-CZ"/>
              </w:rPr>
              <w:t>6</w:t>
            </w:r>
          </w:p>
        </w:tc>
      </w:tr>
    </w:tbl>
    <w:p w14:paraId="1D96363C" w14:textId="2DB9B162" w:rsidR="001A05B3" w:rsidRPr="00284463" w:rsidRDefault="001A05B3" w:rsidP="00A808A0">
      <w:pPr>
        <w:autoSpaceDE w:val="0"/>
        <w:autoSpaceDN w:val="0"/>
        <w:adjustRightInd w:val="0"/>
        <w:rPr>
          <w:b/>
          <w:color w:val="000000"/>
          <w:u w:val="single"/>
          <w:lang w:val="cs-CZ"/>
        </w:rPr>
      </w:pPr>
    </w:p>
    <w:p w14:paraId="26AB6BAC" w14:textId="3105CAC1" w:rsidR="001A05B3" w:rsidRPr="00284463" w:rsidRDefault="001A05B3" w:rsidP="001A05B3">
      <w:pPr>
        <w:autoSpaceDE w:val="0"/>
        <w:autoSpaceDN w:val="0"/>
        <w:adjustRightInd w:val="0"/>
        <w:jc w:val="both"/>
        <w:rPr>
          <w:b/>
          <w:color w:val="000000"/>
          <w:u w:val="single"/>
          <w:lang w:val="cs-CZ"/>
        </w:rPr>
      </w:pPr>
      <w:r w:rsidRPr="00284463">
        <w:rPr>
          <w:b/>
          <w:color w:val="000000"/>
          <w:u w:val="single"/>
          <w:lang w:val="cs-CZ"/>
        </w:rPr>
        <w:t>Vysokoškolské vzdělávání</w:t>
      </w:r>
    </w:p>
    <w:p w14:paraId="46401AEA" w14:textId="77777777" w:rsidR="001A05B3" w:rsidRPr="00284463" w:rsidRDefault="001A05B3" w:rsidP="001A05B3">
      <w:pPr>
        <w:autoSpaceDE w:val="0"/>
        <w:autoSpaceDN w:val="0"/>
        <w:adjustRightInd w:val="0"/>
        <w:jc w:val="both"/>
        <w:rPr>
          <w:b/>
          <w:color w:val="000000"/>
          <w:u w:val="single"/>
          <w:lang w:val="cs-CZ"/>
        </w:rPr>
      </w:pPr>
    </w:p>
    <w:p w14:paraId="194E7117" w14:textId="2AA40B5A" w:rsidR="001A05B3" w:rsidRPr="00284463" w:rsidRDefault="001A05B3" w:rsidP="001A05B3">
      <w:pPr>
        <w:autoSpaceDE w:val="0"/>
        <w:autoSpaceDN w:val="0"/>
        <w:adjustRightInd w:val="0"/>
        <w:jc w:val="both"/>
        <w:rPr>
          <w:color w:val="000000"/>
          <w:lang w:val="cs-CZ"/>
        </w:rPr>
      </w:pPr>
      <w:r w:rsidRPr="00284463">
        <w:rPr>
          <w:color w:val="000000"/>
          <w:lang w:val="cs-CZ"/>
        </w:rPr>
        <w:t xml:space="preserve">V souladu s příslušným ustanovením zákona č. 111/1998 Sb., o vysokých školách a o změně </w:t>
      </w:r>
      <w:r w:rsidRPr="00284463">
        <w:rPr>
          <w:color w:val="000000"/>
          <w:lang w:val="cs-CZ"/>
        </w:rPr>
        <w:br/>
        <w:t xml:space="preserve">a doplnění dalších zákonů je postupováno při přijímání </w:t>
      </w:r>
      <w:r w:rsidR="00A07E82" w:rsidRPr="00284463">
        <w:rPr>
          <w:color w:val="000000"/>
          <w:lang w:val="cs-CZ"/>
        </w:rPr>
        <w:t>student a studentek</w:t>
      </w:r>
      <w:r w:rsidRPr="00284463">
        <w:rPr>
          <w:color w:val="000000"/>
          <w:lang w:val="cs-CZ"/>
        </w:rPr>
        <w:t xml:space="preserve"> k vysokoškolskému vzdělávání</w:t>
      </w:r>
      <w:r w:rsidR="00A07E82" w:rsidRPr="00284463">
        <w:rPr>
          <w:color w:val="000000"/>
          <w:lang w:val="cs-CZ"/>
        </w:rPr>
        <w:t xml:space="preserve"> rovnocenně, bez rozdílu pohlaví</w:t>
      </w:r>
      <w:r w:rsidRPr="00284463">
        <w:rPr>
          <w:color w:val="000000"/>
          <w:lang w:val="cs-CZ"/>
        </w:rPr>
        <w:t>. V akademickém roce 2019/2020 studovalo na Policejní akademii České Republiky</w:t>
      </w:r>
      <w:r w:rsidR="00A808A0" w:rsidRPr="00284463">
        <w:rPr>
          <w:color w:val="000000"/>
          <w:lang w:val="cs-CZ"/>
        </w:rPr>
        <w:t xml:space="preserve"> celkem </w:t>
      </w:r>
      <w:r w:rsidRPr="00284463">
        <w:rPr>
          <w:color w:val="000000"/>
          <w:lang w:val="cs-CZ"/>
        </w:rPr>
        <w:t>2 430 studentů, z toho 1 458 mužů a 972 žen (40% všech studentů tvoří ženy)</w:t>
      </w:r>
      <w:r w:rsidR="00A808A0" w:rsidRPr="00284463">
        <w:rPr>
          <w:color w:val="000000"/>
          <w:lang w:val="cs-CZ"/>
        </w:rPr>
        <w:t>.</w:t>
      </w:r>
    </w:p>
    <w:p w14:paraId="71553D65" w14:textId="77777777" w:rsidR="001A05B3" w:rsidRPr="00284463" w:rsidRDefault="001A05B3" w:rsidP="001A05B3">
      <w:pPr>
        <w:autoSpaceDE w:val="0"/>
        <w:autoSpaceDN w:val="0"/>
        <w:adjustRightInd w:val="0"/>
        <w:jc w:val="both"/>
        <w:rPr>
          <w:color w:val="000000"/>
          <w:lang w:val="cs-CZ"/>
        </w:rPr>
      </w:pPr>
    </w:p>
    <w:p w14:paraId="0AF409C6" w14:textId="419CA199" w:rsidR="001A05B3" w:rsidRPr="00284463" w:rsidRDefault="001A05B3" w:rsidP="001A05B3">
      <w:pPr>
        <w:autoSpaceDE w:val="0"/>
        <w:autoSpaceDN w:val="0"/>
        <w:adjustRightInd w:val="0"/>
        <w:jc w:val="both"/>
        <w:rPr>
          <w:b/>
          <w:color w:val="000000"/>
          <w:u w:val="single"/>
          <w:lang w:val="cs-CZ"/>
        </w:rPr>
      </w:pPr>
      <w:r w:rsidRPr="00284463">
        <w:rPr>
          <w:b/>
          <w:color w:val="000000"/>
          <w:u w:val="single"/>
          <w:lang w:val="cs-CZ"/>
        </w:rPr>
        <w:t>Další vzdělávání</w:t>
      </w:r>
    </w:p>
    <w:p w14:paraId="4EE239B7" w14:textId="77777777" w:rsidR="00A808A0" w:rsidRPr="00284463" w:rsidRDefault="00A808A0" w:rsidP="001A05B3">
      <w:pPr>
        <w:autoSpaceDE w:val="0"/>
        <w:autoSpaceDN w:val="0"/>
        <w:adjustRightInd w:val="0"/>
        <w:jc w:val="both"/>
        <w:rPr>
          <w:b/>
          <w:color w:val="000000"/>
          <w:u w:val="single"/>
          <w:lang w:val="cs-CZ"/>
        </w:rPr>
      </w:pPr>
    </w:p>
    <w:p w14:paraId="4F27AE4C" w14:textId="77777777" w:rsidR="001A05B3" w:rsidRPr="00284463" w:rsidRDefault="001A05B3" w:rsidP="001A05B3">
      <w:pPr>
        <w:jc w:val="both"/>
        <w:rPr>
          <w:color w:val="000000"/>
          <w:lang w:val="cs-CZ"/>
        </w:rPr>
      </w:pPr>
      <w:r w:rsidRPr="00284463">
        <w:rPr>
          <w:color w:val="000000"/>
          <w:lang w:val="cs-CZ"/>
        </w:rPr>
        <w:t xml:space="preserve">Vedením Policie ČR je nadále podporováno další vzdělávání policistů a policistek bez rozdílu pohlaví, včetně zvyšování kvalifikace na vysokých školách, a především na Policejní </w:t>
      </w:r>
      <w:r w:rsidRPr="00284463">
        <w:rPr>
          <w:color w:val="000000"/>
          <w:lang w:val="cs-CZ"/>
        </w:rPr>
        <w:lastRenderedPageBreak/>
        <w:t xml:space="preserve">akademii ČR v Praze. Významným způsobem je podporováno i jazykové vzdělávání a v některých případech (např. výkon služby na odboru mezinárodní policejní spolupráce Policejního prezidia ČR) i studium v zahraničí zaměřené </w:t>
      </w:r>
      <w:r w:rsidRPr="00284463">
        <w:rPr>
          <w:color w:val="000000"/>
          <w:lang w:val="cs-CZ"/>
        </w:rPr>
        <w:br/>
        <w:t>na zvyšování odbornosti v oblasti mezinárodní policejní spolupráce (například v kurzech nabízených agenturou CEPOL nebo Středoevropskou policejní akademií MEPA).</w:t>
      </w:r>
    </w:p>
    <w:p w14:paraId="6A30488D" w14:textId="61E62EAF" w:rsidR="00B26978" w:rsidRPr="00284463" w:rsidRDefault="00B26978" w:rsidP="00A016C2">
      <w:pPr>
        <w:spacing w:after="120" w:line="276" w:lineRule="auto"/>
        <w:jc w:val="both"/>
        <w:rPr>
          <w:b/>
          <w:lang w:val="cs-CZ"/>
        </w:rPr>
      </w:pPr>
    </w:p>
    <w:p w14:paraId="701F4364" w14:textId="77777777" w:rsidR="001A05B3" w:rsidRPr="00284463" w:rsidRDefault="001A05B3" w:rsidP="00850AAF">
      <w:pPr>
        <w:pageBreakBefore/>
        <w:spacing w:after="120" w:line="276" w:lineRule="auto"/>
        <w:jc w:val="both"/>
        <w:rPr>
          <w:b/>
          <w:lang w:val="cs-CZ"/>
        </w:rPr>
      </w:pPr>
    </w:p>
    <w:p w14:paraId="7ED8C6C5" w14:textId="5727AD10" w:rsidR="00052CA2" w:rsidRPr="00284463" w:rsidRDefault="00052CA2" w:rsidP="0084130E">
      <w:pPr>
        <w:pStyle w:val="Nadpis1"/>
        <w:numPr>
          <w:ilvl w:val="0"/>
          <w:numId w:val="9"/>
        </w:numPr>
        <w:pBdr>
          <w:top w:val="single" w:sz="4" w:space="1" w:color="4F81BD"/>
          <w:left w:val="single" w:sz="4" w:space="4" w:color="4F81BD"/>
          <w:bottom w:val="single" w:sz="4" w:space="1" w:color="4F81BD"/>
          <w:right w:val="single" w:sz="4" w:space="4" w:color="4F81BD"/>
          <w:between w:val="single" w:sz="4" w:space="1" w:color="4F81BD"/>
          <w:bar w:val="single" w:sz="4" w:color="4F81BD"/>
        </w:pBdr>
        <w:spacing w:line="276" w:lineRule="auto"/>
        <w:rPr>
          <w:rFonts w:ascii="Times New Roman" w:hAnsi="Times New Roman"/>
          <w:color w:val="2F5496" w:themeColor="accent1" w:themeShade="BF"/>
          <w:sz w:val="28"/>
          <w:szCs w:val="28"/>
          <w:lang w:val="cs-CZ"/>
        </w:rPr>
      </w:pPr>
      <w:bookmarkStart w:id="10" w:name="_Toc469998692"/>
      <w:bookmarkStart w:id="11" w:name="_Toc8495767"/>
      <w:bookmarkStart w:id="12" w:name="_Toc39673330"/>
      <w:r w:rsidRPr="00284463">
        <w:rPr>
          <w:rFonts w:ascii="Times New Roman" w:hAnsi="Times New Roman"/>
          <w:color w:val="2F5496" w:themeColor="accent1" w:themeShade="BF"/>
          <w:sz w:val="28"/>
          <w:szCs w:val="28"/>
          <w:lang w:val="cs-CZ"/>
        </w:rPr>
        <w:t>Slaďování pracovního a soukromé</w:t>
      </w:r>
      <w:r w:rsidR="00BB4E59" w:rsidRPr="00284463">
        <w:rPr>
          <w:rFonts w:ascii="Times New Roman" w:hAnsi="Times New Roman"/>
          <w:color w:val="2F5496" w:themeColor="accent1" w:themeShade="BF"/>
          <w:sz w:val="28"/>
          <w:szCs w:val="28"/>
          <w:lang w:val="cs-CZ"/>
        </w:rPr>
        <w:t>ho života ve vztahu k A</w:t>
      </w:r>
      <w:r w:rsidRPr="00284463">
        <w:rPr>
          <w:rFonts w:ascii="Times New Roman" w:hAnsi="Times New Roman"/>
          <w:color w:val="2F5496" w:themeColor="accent1" w:themeShade="BF"/>
          <w:sz w:val="28"/>
          <w:szCs w:val="28"/>
          <w:lang w:val="cs-CZ"/>
        </w:rPr>
        <w:t>gendě WPS</w:t>
      </w:r>
      <w:bookmarkEnd w:id="10"/>
      <w:bookmarkEnd w:id="11"/>
      <w:bookmarkEnd w:id="12"/>
    </w:p>
    <w:p w14:paraId="23D9340B" w14:textId="77777777" w:rsidR="00EF240C" w:rsidRPr="00284463" w:rsidRDefault="00EF240C" w:rsidP="005B4495">
      <w:pPr>
        <w:pStyle w:val="Nadpis2"/>
        <w:pBdr>
          <w:bottom w:val="single" w:sz="4" w:space="1" w:color="4F81BD"/>
        </w:pBdr>
        <w:rPr>
          <w:rFonts w:ascii="Times New Roman" w:hAnsi="Times New Roman"/>
          <w:i w:val="0"/>
          <w:color w:val="2F5496" w:themeColor="accent1" w:themeShade="BF"/>
          <w:lang w:val="cs-CZ"/>
        </w:rPr>
      </w:pPr>
      <w:bookmarkStart w:id="13" w:name="_Toc39673331"/>
      <w:r w:rsidRPr="00284463">
        <w:rPr>
          <w:rFonts w:ascii="Times New Roman" w:hAnsi="Times New Roman"/>
          <w:i w:val="0"/>
          <w:color w:val="2F5496" w:themeColor="accent1" w:themeShade="BF"/>
          <w:lang w:val="cs-CZ"/>
        </w:rPr>
        <w:t>Úkol č. 5</w:t>
      </w:r>
      <w:bookmarkEnd w:id="13"/>
    </w:p>
    <w:p w14:paraId="5EAE45CA" w14:textId="77777777" w:rsidR="00052CA2" w:rsidRPr="00284463" w:rsidRDefault="00BB40FD" w:rsidP="007C2F22">
      <w:pPr>
        <w:snapToGrid w:val="0"/>
        <w:spacing w:after="120" w:line="276" w:lineRule="auto"/>
        <w:jc w:val="both"/>
        <w:rPr>
          <w:b/>
          <w:lang w:val="cs-CZ"/>
        </w:rPr>
      </w:pPr>
      <w:r w:rsidRPr="00284463">
        <w:rPr>
          <w:b/>
          <w:lang w:val="cs-CZ"/>
        </w:rPr>
        <w:t xml:space="preserve">Obecný cíl: </w:t>
      </w:r>
      <w:r w:rsidR="00EF240C" w:rsidRPr="00284463">
        <w:rPr>
          <w:b/>
          <w:lang w:val="cs-CZ"/>
        </w:rPr>
        <w:t>Podporovat sladění pracovního a soukromého života včetně opatření vztahující se k problematice WPS</w:t>
      </w:r>
    </w:p>
    <w:p w14:paraId="5EB82E46" w14:textId="77777777" w:rsidR="00EF240C" w:rsidRPr="00284463" w:rsidRDefault="00EF240C" w:rsidP="007C2F22">
      <w:pPr>
        <w:snapToGrid w:val="0"/>
        <w:spacing w:after="120" w:line="276" w:lineRule="auto"/>
        <w:jc w:val="both"/>
        <w:rPr>
          <w:lang w:val="cs-CZ"/>
        </w:rPr>
      </w:pPr>
      <w:r w:rsidRPr="00284463">
        <w:rPr>
          <w:lang w:val="cs-CZ"/>
        </w:rPr>
        <w:t>Úkol:</w:t>
      </w:r>
    </w:p>
    <w:p w14:paraId="5AD40FBD" w14:textId="77777777" w:rsidR="005C7A09" w:rsidRPr="00284463" w:rsidRDefault="00EF240C" w:rsidP="007C2F22">
      <w:pPr>
        <w:numPr>
          <w:ilvl w:val="0"/>
          <w:numId w:val="4"/>
        </w:numPr>
        <w:snapToGrid w:val="0"/>
        <w:spacing w:after="120" w:line="276" w:lineRule="auto"/>
        <w:jc w:val="both"/>
        <w:rPr>
          <w:lang w:val="cs-CZ"/>
        </w:rPr>
      </w:pPr>
      <w:r w:rsidRPr="00284463">
        <w:rPr>
          <w:lang w:val="cs-CZ"/>
        </w:rPr>
        <w:t>Zavádět opatření za účelem podpory sladění pracovního a soukromého života všech zaměstnan</w:t>
      </w:r>
      <w:r w:rsidR="00CD19D8" w:rsidRPr="00284463">
        <w:rPr>
          <w:lang w:val="cs-CZ"/>
        </w:rPr>
        <w:t>kyň</w:t>
      </w:r>
      <w:r w:rsidRPr="00284463">
        <w:rPr>
          <w:lang w:val="cs-CZ"/>
        </w:rPr>
        <w:t xml:space="preserve"> a zaměstnan</w:t>
      </w:r>
      <w:r w:rsidR="00CD19D8" w:rsidRPr="00284463">
        <w:rPr>
          <w:lang w:val="cs-CZ"/>
        </w:rPr>
        <w:t>ců</w:t>
      </w:r>
      <w:r w:rsidRPr="00284463">
        <w:rPr>
          <w:lang w:val="cs-CZ"/>
        </w:rPr>
        <w:t xml:space="preserve"> v rezortu MO, MZV a MV a resortních institucích, především zaváděním flexibilních forem práce, práce z domova a zřízením dětských skupin</w:t>
      </w:r>
      <w:r w:rsidR="00D41F9C" w:rsidRPr="00284463">
        <w:rPr>
          <w:lang w:val="cs-CZ"/>
        </w:rPr>
        <w:t>.</w:t>
      </w:r>
    </w:p>
    <w:p w14:paraId="68FD8E81" w14:textId="77777777" w:rsidR="005B3BDD" w:rsidRPr="00284463" w:rsidRDefault="005B3BDD" w:rsidP="00B06151">
      <w:pPr>
        <w:jc w:val="both"/>
        <w:rPr>
          <w:lang w:val="cs-CZ"/>
        </w:rPr>
      </w:pPr>
    </w:p>
    <w:p w14:paraId="10B2AA19" w14:textId="47AA3D46" w:rsidR="007C531D" w:rsidRPr="00284463" w:rsidRDefault="007C531D" w:rsidP="00B06151">
      <w:pPr>
        <w:jc w:val="both"/>
        <w:rPr>
          <w:lang w:val="cs-CZ"/>
        </w:rPr>
      </w:pPr>
      <w:r w:rsidRPr="00284463">
        <w:rPr>
          <w:color w:val="000000"/>
          <w:lang w:val="cs-CZ"/>
        </w:rPr>
        <w:t>Problematiku slaďování osobního a rodinného života s výkonem státní služby upravuje § 116 a 117 zákona č. 234/2014  Sb., o státní službě, ve znění pozdějších předpisů nařízení vlády č. 144/2015 Sb., o výkonu státní služby z jiného místa a pravidlech pro vytvoření předpokladů sladění rodinného a osobního života s výkonem státní služby a služební předpis náměstka ministra vnitra pro státní službu č. 3/2019,</w:t>
      </w:r>
      <w:r w:rsidRPr="00284463">
        <w:rPr>
          <w:b/>
          <w:color w:val="000000"/>
          <w:lang w:val="cs-CZ"/>
        </w:rPr>
        <w:t xml:space="preserve"> </w:t>
      </w:r>
      <w:r w:rsidRPr="00284463">
        <w:rPr>
          <w:color w:val="000000"/>
          <w:lang w:val="cs-CZ"/>
        </w:rPr>
        <w:t>k vytváření podmínek pro sladění rodinného a osobního života s výkonem státní služby.</w:t>
      </w:r>
    </w:p>
    <w:p w14:paraId="65634DEA" w14:textId="77777777" w:rsidR="007C531D" w:rsidRPr="00284463" w:rsidRDefault="007C531D" w:rsidP="00B06151">
      <w:pPr>
        <w:jc w:val="both"/>
        <w:rPr>
          <w:lang w:val="cs-CZ"/>
        </w:rPr>
      </w:pPr>
    </w:p>
    <w:p w14:paraId="66DFB9CA" w14:textId="6FF0FACB" w:rsidR="005B3BDD" w:rsidRPr="00284463" w:rsidRDefault="005B3BDD" w:rsidP="005B3BDD">
      <w:pPr>
        <w:pStyle w:val="Odstavecseseznamem"/>
        <w:numPr>
          <w:ilvl w:val="0"/>
          <w:numId w:val="28"/>
        </w:numPr>
        <w:jc w:val="both"/>
        <w:rPr>
          <w:b/>
          <w:u w:val="single"/>
          <w:lang w:val="cs-CZ"/>
        </w:rPr>
      </w:pPr>
      <w:r w:rsidRPr="00284463">
        <w:rPr>
          <w:b/>
          <w:u w:val="single"/>
          <w:lang w:val="cs-CZ"/>
        </w:rPr>
        <w:t>Gesce MO</w:t>
      </w:r>
    </w:p>
    <w:p w14:paraId="02ED7C2E" w14:textId="77777777" w:rsidR="005B3BDD" w:rsidRPr="00284463" w:rsidRDefault="005B3BDD" w:rsidP="00B06151">
      <w:pPr>
        <w:jc w:val="both"/>
        <w:rPr>
          <w:lang w:val="cs-CZ"/>
        </w:rPr>
      </w:pPr>
    </w:p>
    <w:p w14:paraId="5D5F0CF8" w14:textId="5C78D778" w:rsidR="00B06151" w:rsidRPr="00284463" w:rsidRDefault="00284463" w:rsidP="00B06151">
      <w:pPr>
        <w:jc w:val="both"/>
        <w:rPr>
          <w:lang w:val="cs-CZ"/>
        </w:rPr>
      </w:pPr>
      <w:r w:rsidRPr="00284463">
        <w:rPr>
          <w:lang w:val="cs-CZ"/>
        </w:rPr>
        <w:t xml:space="preserve">Pro efektivnější slaďování pracovního, soukromého </w:t>
      </w:r>
      <w:r>
        <w:rPr>
          <w:lang w:val="cs-CZ"/>
        </w:rPr>
        <w:t>a rodinného života personálu MO</w:t>
      </w:r>
      <w:r w:rsidRPr="00284463">
        <w:rPr>
          <w:lang w:val="cs-CZ"/>
        </w:rPr>
        <w:t xml:space="preserve"> je umožňována úprava pracovní/služební doby dle požadavku, je umožňováno i její pružné rozvržení, </w:t>
      </w:r>
      <w:r w:rsidRPr="00284463">
        <w:rPr>
          <w:iCs/>
          <w:lang w:val="cs-CZ"/>
        </w:rPr>
        <w:t xml:space="preserve">včetně možnosti </w:t>
      </w:r>
      <w:r w:rsidRPr="00284463">
        <w:rPr>
          <w:lang w:val="cs-CZ"/>
        </w:rPr>
        <w:t xml:space="preserve">zkrácených úvazků. </w:t>
      </w:r>
      <w:r w:rsidR="00B06151" w:rsidRPr="00284463">
        <w:rPr>
          <w:lang w:val="cs-CZ"/>
        </w:rPr>
        <w:t>Umožňován je rovněž výkon práce mimo pracoviště - v důsledku epidemiologických opatření v roce 2020 byl velmi rozšířen. Za účelem snadného sladění pracovního, soukro</w:t>
      </w:r>
      <w:r w:rsidR="007C531D" w:rsidRPr="00284463">
        <w:rPr>
          <w:lang w:val="cs-CZ"/>
        </w:rPr>
        <w:t xml:space="preserve">mého a rodinného života jsou k </w:t>
      </w:r>
      <w:r w:rsidR="00B06151" w:rsidRPr="00284463">
        <w:rPr>
          <w:lang w:val="cs-CZ"/>
        </w:rPr>
        <w:t xml:space="preserve">dispozici také zařízení pro předškolní děti – dětské skupiny. </w:t>
      </w:r>
    </w:p>
    <w:p w14:paraId="63D6A4EE" w14:textId="77777777" w:rsidR="007C531D" w:rsidRPr="00284463" w:rsidRDefault="007C531D" w:rsidP="00B06151">
      <w:pPr>
        <w:jc w:val="both"/>
        <w:rPr>
          <w:lang w:val="cs-CZ"/>
        </w:rPr>
      </w:pPr>
    </w:p>
    <w:p w14:paraId="228173F1" w14:textId="07A933D5" w:rsidR="00B06151" w:rsidRPr="00284463" w:rsidRDefault="00B06151" w:rsidP="00B06151">
      <w:pPr>
        <w:jc w:val="both"/>
        <w:rPr>
          <w:lang w:val="cs-CZ"/>
        </w:rPr>
      </w:pPr>
      <w:r w:rsidRPr="00284463">
        <w:rPr>
          <w:lang w:val="cs-CZ"/>
        </w:rPr>
        <w:t xml:space="preserve">V rezortu </w:t>
      </w:r>
      <w:r w:rsidR="007C531D" w:rsidRPr="00284463">
        <w:rPr>
          <w:lang w:val="cs-CZ"/>
        </w:rPr>
        <w:t xml:space="preserve">MO </w:t>
      </w:r>
      <w:r w:rsidRPr="00284463">
        <w:rPr>
          <w:lang w:val="cs-CZ"/>
        </w:rPr>
        <w:t xml:space="preserve">je v současné době v provozu </w:t>
      </w:r>
      <w:r w:rsidRPr="00284463">
        <w:rPr>
          <w:i/>
          <w:u w:val="single"/>
          <w:lang w:val="cs-CZ"/>
        </w:rPr>
        <w:t>8 dětských skupin</w:t>
      </w:r>
      <w:r w:rsidRPr="00284463">
        <w:rPr>
          <w:lang w:val="cs-CZ"/>
        </w:rPr>
        <w:t xml:space="preserve"> s </w:t>
      </w:r>
      <w:r w:rsidRPr="00284463">
        <w:rPr>
          <w:iCs/>
          <w:lang w:val="cs-CZ"/>
        </w:rPr>
        <w:t xml:space="preserve">celkovou kapacitou 160 míst:    </w:t>
      </w:r>
    </w:p>
    <w:p w14:paraId="5B49A2F7" w14:textId="77777777" w:rsidR="00B06151" w:rsidRPr="00284463" w:rsidRDefault="00B06151" w:rsidP="00B06151">
      <w:pPr>
        <w:numPr>
          <w:ilvl w:val="0"/>
          <w:numId w:val="23"/>
        </w:numPr>
        <w:jc w:val="both"/>
        <w:rPr>
          <w:lang w:val="cs-CZ"/>
        </w:rPr>
      </w:pPr>
      <w:r w:rsidRPr="00284463">
        <w:rPr>
          <w:lang w:val="cs-CZ"/>
        </w:rPr>
        <w:t xml:space="preserve">3 v posádce Praha, </w:t>
      </w:r>
    </w:p>
    <w:p w14:paraId="32FDC356" w14:textId="77777777" w:rsidR="00B06151" w:rsidRPr="00284463" w:rsidRDefault="00B06151" w:rsidP="00B06151">
      <w:pPr>
        <w:numPr>
          <w:ilvl w:val="0"/>
          <w:numId w:val="23"/>
        </w:numPr>
        <w:jc w:val="both"/>
        <w:rPr>
          <w:lang w:val="cs-CZ"/>
        </w:rPr>
      </w:pPr>
      <w:r w:rsidRPr="00284463">
        <w:rPr>
          <w:lang w:val="cs-CZ"/>
        </w:rPr>
        <w:t xml:space="preserve">1 v posádce Čáslav, </w:t>
      </w:r>
    </w:p>
    <w:p w14:paraId="4C3B7968" w14:textId="77777777" w:rsidR="00B06151" w:rsidRPr="00284463" w:rsidRDefault="00B06151" w:rsidP="00B06151">
      <w:pPr>
        <w:numPr>
          <w:ilvl w:val="0"/>
          <w:numId w:val="23"/>
        </w:numPr>
        <w:jc w:val="both"/>
        <w:rPr>
          <w:lang w:val="cs-CZ"/>
        </w:rPr>
      </w:pPr>
      <w:r w:rsidRPr="00284463">
        <w:rPr>
          <w:lang w:val="cs-CZ"/>
        </w:rPr>
        <w:t xml:space="preserve">1 v posádce Bechyně, </w:t>
      </w:r>
    </w:p>
    <w:p w14:paraId="20AD6958" w14:textId="77777777" w:rsidR="00B06151" w:rsidRPr="00284463" w:rsidRDefault="00B06151" w:rsidP="00B06151">
      <w:pPr>
        <w:numPr>
          <w:ilvl w:val="0"/>
          <w:numId w:val="23"/>
        </w:numPr>
        <w:jc w:val="both"/>
        <w:rPr>
          <w:lang w:val="cs-CZ"/>
        </w:rPr>
      </w:pPr>
      <w:r w:rsidRPr="00284463">
        <w:rPr>
          <w:lang w:val="cs-CZ"/>
        </w:rPr>
        <w:t xml:space="preserve">1 v posádce Stará Boleslav, </w:t>
      </w:r>
    </w:p>
    <w:p w14:paraId="37AF1149" w14:textId="77777777" w:rsidR="00B06151" w:rsidRPr="00284463" w:rsidRDefault="00B06151" w:rsidP="00B06151">
      <w:pPr>
        <w:numPr>
          <w:ilvl w:val="0"/>
          <w:numId w:val="23"/>
        </w:numPr>
        <w:jc w:val="both"/>
        <w:rPr>
          <w:lang w:val="cs-CZ"/>
        </w:rPr>
      </w:pPr>
      <w:r w:rsidRPr="00284463">
        <w:rPr>
          <w:lang w:val="cs-CZ"/>
        </w:rPr>
        <w:t xml:space="preserve">1 v posádce Tábor, </w:t>
      </w:r>
    </w:p>
    <w:p w14:paraId="5236FFD3" w14:textId="77777777" w:rsidR="00B06151" w:rsidRPr="00284463" w:rsidRDefault="00B06151" w:rsidP="00B06151">
      <w:pPr>
        <w:numPr>
          <w:ilvl w:val="0"/>
          <w:numId w:val="23"/>
        </w:numPr>
        <w:jc w:val="both"/>
        <w:rPr>
          <w:lang w:val="cs-CZ"/>
        </w:rPr>
      </w:pPr>
      <w:r w:rsidRPr="00284463">
        <w:rPr>
          <w:lang w:val="cs-CZ"/>
        </w:rPr>
        <w:t xml:space="preserve">1 v posádce Hranice na Moravě. </w:t>
      </w:r>
    </w:p>
    <w:p w14:paraId="2301277B" w14:textId="77777777" w:rsidR="00B06151" w:rsidRPr="00284463" w:rsidRDefault="00B06151" w:rsidP="00B06151">
      <w:pPr>
        <w:spacing w:before="120"/>
        <w:jc w:val="both"/>
        <w:rPr>
          <w:lang w:val="cs-CZ"/>
        </w:rPr>
      </w:pPr>
      <w:r w:rsidRPr="00284463">
        <w:rPr>
          <w:lang w:val="cs-CZ"/>
        </w:rPr>
        <w:t xml:space="preserve">Své vlastní zařízení pro děti předškolního věku provozuje příspěvková organizace Ústřední vojenská nemocnice - Vojenská fakultní nemocnice Praha a Vojenská nemocnice Olomouc. Obdobné zařízení mohou také využívat zaměstnanci Univerzity obrany. </w:t>
      </w:r>
    </w:p>
    <w:p w14:paraId="2DA8963A" w14:textId="35B0C159" w:rsidR="00493A3E" w:rsidRPr="00284463" w:rsidRDefault="00493A3E" w:rsidP="00A016C2">
      <w:pPr>
        <w:spacing w:after="120" w:line="276" w:lineRule="auto"/>
        <w:jc w:val="both"/>
        <w:rPr>
          <w:lang w:val="cs-CZ"/>
        </w:rPr>
      </w:pPr>
    </w:p>
    <w:p w14:paraId="58F6526A" w14:textId="1A2DE7D2" w:rsidR="00B06151" w:rsidRPr="00284463" w:rsidRDefault="00B06151" w:rsidP="00A016C2">
      <w:pPr>
        <w:spacing w:after="120" w:line="276" w:lineRule="auto"/>
        <w:jc w:val="both"/>
        <w:rPr>
          <w:lang w:val="cs-CZ"/>
        </w:rPr>
      </w:pPr>
      <w:r w:rsidRPr="00284463">
        <w:rPr>
          <w:noProof/>
          <w:lang w:val="cs-CZ" w:eastAsia="cs-CZ"/>
        </w:rPr>
        <w:lastRenderedPageBreak/>
        <w:drawing>
          <wp:inline distT="0" distB="0" distL="0" distR="0" wp14:anchorId="6E23187C" wp14:editId="37BC3624">
            <wp:extent cx="5759450" cy="2658110"/>
            <wp:effectExtent l="0" t="0" r="12700" b="889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62A1E9" w14:textId="77777777" w:rsidR="00C70442" w:rsidRPr="00284463" w:rsidRDefault="00C70442" w:rsidP="00850AAF">
      <w:pPr>
        <w:snapToGrid w:val="0"/>
        <w:spacing w:after="120"/>
        <w:jc w:val="both"/>
        <w:rPr>
          <w:i/>
          <w:iCs/>
          <w:lang w:val="cs-CZ"/>
        </w:rPr>
      </w:pPr>
    </w:p>
    <w:p w14:paraId="354A3E8A" w14:textId="6FB2337B" w:rsidR="00F122D0" w:rsidRPr="00284463" w:rsidRDefault="005B3BDD" w:rsidP="00850AAF">
      <w:pPr>
        <w:pStyle w:val="Odstavecseseznamem"/>
        <w:numPr>
          <w:ilvl w:val="0"/>
          <w:numId w:val="28"/>
        </w:numPr>
        <w:spacing w:after="120"/>
        <w:jc w:val="both"/>
        <w:rPr>
          <w:b/>
          <w:u w:val="single"/>
          <w:lang w:val="cs-CZ"/>
        </w:rPr>
      </w:pPr>
      <w:r w:rsidRPr="00284463">
        <w:rPr>
          <w:b/>
          <w:u w:val="single"/>
          <w:lang w:val="cs-CZ"/>
        </w:rPr>
        <w:t>Gesce MZV</w:t>
      </w:r>
    </w:p>
    <w:p w14:paraId="226DEC86" w14:textId="77777777" w:rsidR="00850AAF" w:rsidRPr="00284463" w:rsidRDefault="00850AAF" w:rsidP="00850AAF">
      <w:pPr>
        <w:pStyle w:val="Odstavecseseznamem"/>
        <w:spacing w:after="120"/>
        <w:ind w:left="1080"/>
        <w:jc w:val="both"/>
        <w:rPr>
          <w:b/>
          <w:u w:val="single"/>
          <w:lang w:val="cs-CZ"/>
        </w:rPr>
      </w:pPr>
    </w:p>
    <w:p w14:paraId="1BF6E151" w14:textId="2496E516" w:rsidR="00B06151" w:rsidRPr="00284463" w:rsidRDefault="00B06151" w:rsidP="00850AAF">
      <w:pPr>
        <w:jc w:val="both"/>
        <w:rPr>
          <w:lang w:val="cs-CZ"/>
        </w:rPr>
      </w:pPr>
      <w:r w:rsidRPr="00284463">
        <w:rPr>
          <w:lang w:val="cs-CZ"/>
        </w:rPr>
        <w:t xml:space="preserve">Na MZV jsou dostupné následující flexibilní formy práce jako např. sjednání kratší pracovní doby, odchylné rozvržení pracovní doby, kombinace výkonu služby/práce na pracovišti a na jiném, předem dohodnutém místě (práce doma), stanovení odchylného začátku a konce pracovní doby. Zaměstnanci či zaměstnankyně se se žádostmi (obsahujícími stanovisko vedoucího útvaru) o úpravu stanovené pracovní doby obracejí na odbor služebních a pracovněprávních věcí, který se snaží všem žádostem v nejvyšší možné míře vyhovět. </w:t>
      </w:r>
    </w:p>
    <w:p w14:paraId="37706AC6" w14:textId="77777777" w:rsidR="00B06151" w:rsidRPr="00284463" w:rsidRDefault="00B06151" w:rsidP="00850AAF">
      <w:pPr>
        <w:snapToGrid w:val="0"/>
        <w:spacing w:after="120"/>
        <w:rPr>
          <w:lang w:val="cs-CZ"/>
        </w:rPr>
      </w:pPr>
    </w:p>
    <w:p w14:paraId="1B05F4E2" w14:textId="61E0AC70" w:rsidR="00EF240C" w:rsidRPr="00284463" w:rsidRDefault="00B06151" w:rsidP="00850AAF">
      <w:pPr>
        <w:snapToGrid w:val="0"/>
        <w:spacing w:after="120"/>
        <w:jc w:val="both"/>
        <w:rPr>
          <w:lang w:val="cs-CZ"/>
        </w:rPr>
      </w:pPr>
      <w:r w:rsidRPr="00284463">
        <w:rPr>
          <w:lang w:val="cs-CZ"/>
        </w:rPr>
        <w:t xml:space="preserve">Velmi úspěšně na MZV funguje dětská skupina Zamiňáček I. a II, jejíž kapacita je 30 míst. V rámci podpory rodinné politiky byl v roce 2020 uspořádán 3. ročník příměstského tábora pro starší děti. Běžně je kapacita pro 20 dětí ve dvou týdenních turnusech. V roce 2020 byl vzhledem k vládním opatřením a epidemiologické situaci uspořádán pouze jeden turnus. Každoročně je organizováno </w:t>
      </w:r>
      <w:r w:rsidR="00284463" w:rsidRPr="00284463">
        <w:rPr>
          <w:lang w:val="cs-CZ"/>
        </w:rPr>
        <w:t>před výjezdové</w:t>
      </w:r>
      <w:r w:rsidRPr="00284463">
        <w:rPr>
          <w:lang w:val="cs-CZ"/>
        </w:rPr>
        <w:t xml:space="preserve"> školení pro rodinné příslušníky vyjíždějících zaměstnanců, které doprovázející partnery připravuje na specifika výkonu zahraniční služby a život doprovázejícího partnera v cizině. Rodinným příslušníkům je k dispozici referentka Sdružení rodinných příslušníků MZV (SRP), která ve stanovenou dobu přijímá zájemce ve své kanceláři k zodpovězení dotazů a za stejným účelem je rovněž k dispozici na emailu SRP. Od roku 2015 funguje v rezortu MZV psycholožka, která je k dispozici všem zaměstnancům a rovněž rodinným příslušníkům, zejména zaměstnanců vyslaných do rizikových oblastí. Napomáhá zaměstnancům konzultovat problémy, které řeší při slaďování výkonu zahraniční služby nebo práce a rodinného života, dále poskytuje manažerský koučink v rámci </w:t>
      </w:r>
      <w:r w:rsidR="00284463" w:rsidRPr="00284463">
        <w:rPr>
          <w:lang w:val="cs-CZ"/>
        </w:rPr>
        <w:t>před výjezdové</w:t>
      </w:r>
      <w:r w:rsidRPr="00284463">
        <w:rPr>
          <w:lang w:val="cs-CZ"/>
        </w:rPr>
        <w:t xml:space="preserve"> přípravy pro VZÚ a ZVZÚ. MZV pravidelně pořádá školení přístupné pro všechny zaměstnance k sociálně patologickým jevům na pracovišti a jejich prevenci. MZV hradí dětem vyslaných zaměstnanců k výkonu služby nebo práce do zahraničí náhrady výdajů spojených se školní docházkou. Limity jsou každoročně aktualizovány rozhodnutím státního tajemníka.</w:t>
      </w:r>
    </w:p>
    <w:p w14:paraId="39EAAC76" w14:textId="77777777" w:rsidR="005B3BDD" w:rsidRPr="00284463" w:rsidRDefault="005B3BDD" w:rsidP="00850AAF">
      <w:pPr>
        <w:snapToGrid w:val="0"/>
        <w:spacing w:after="120"/>
        <w:jc w:val="both"/>
        <w:rPr>
          <w:lang w:val="cs-CZ"/>
        </w:rPr>
      </w:pPr>
    </w:p>
    <w:p w14:paraId="312586CA" w14:textId="1A4E0EAD" w:rsidR="007C531D" w:rsidRPr="00284463" w:rsidRDefault="005B3BDD" w:rsidP="00850AAF">
      <w:pPr>
        <w:pStyle w:val="Odstavecseseznamem"/>
        <w:keepNext/>
        <w:pageBreakBefore/>
        <w:numPr>
          <w:ilvl w:val="0"/>
          <w:numId w:val="28"/>
        </w:numPr>
        <w:ind w:left="1077"/>
        <w:jc w:val="both"/>
        <w:rPr>
          <w:b/>
          <w:color w:val="000000"/>
          <w:u w:val="single"/>
          <w:lang w:val="cs-CZ"/>
        </w:rPr>
      </w:pPr>
      <w:r w:rsidRPr="00284463">
        <w:rPr>
          <w:b/>
          <w:color w:val="000000"/>
          <w:u w:val="single"/>
          <w:lang w:val="cs-CZ"/>
        </w:rPr>
        <w:lastRenderedPageBreak/>
        <w:t>Gesce MV</w:t>
      </w:r>
    </w:p>
    <w:p w14:paraId="004BBD56" w14:textId="77777777" w:rsidR="005B3BDD" w:rsidRPr="00284463" w:rsidRDefault="005B3BDD" w:rsidP="00850AAF">
      <w:pPr>
        <w:keepNext/>
        <w:jc w:val="both"/>
        <w:rPr>
          <w:color w:val="000000"/>
          <w:lang w:val="cs-CZ"/>
        </w:rPr>
      </w:pPr>
    </w:p>
    <w:p w14:paraId="618B9880" w14:textId="0EE421AD" w:rsidR="00B06151" w:rsidRPr="00284463" w:rsidRDefault="00B06151" w:rsidP="00850AAF">
      <w:pPr>
        <w:keepNext/>
        <w:jc w:val="both"/>
        <w:rPr>
          <w:color w:val="000000"/>
          <w:lang w:val="cs-CZ"/>
        </w:rPr>
      </w:pPr>
      <w:r w:rsidRPr="00284463">
        <w:rPr>
          <w:color w:val="000000"/>
          <w:lang w:val="cs-CZ"/>
        </w:rPr>
        <w:t xml:space="preserve">V </w:t>
      </w:r>
      <w:r w:rsidR="007C531D" w:rsidRPr="00284463">
        <w:rPr>
          <w:color w:val="000000"/>
          <w:lang w:val="cs-CZ"/>
        </w:rPr>
        <w:t>souladu s principy obsaženými v zákonu o státní službě</w:t>
      </w:r>
      <w:r w:rsidRPr="00284463">
        <w:rPr>
          <w:color w:val="000000"/>
          <w:lang w:val="cs-CZ"/>
        </w:rPr>
        <w:t xml:space="preserve"> bylo shodně jako v roce 2019 i v roce 2020 umožněno v nejširší možné míře státním zaměstnancům a státním zaměstnankyním a zaměstnancům a zaměstnankyním v režimu zákoníku práce </w:t>
      </w:r>
      <w:r w:rsidR="007C531D" w:rsidRPr="00284463">
        <w:rPr>
          <w:color w:val="000000"/>
          <w:lang w:val="cs-CZ"/>
        </w:rPr>
        <w:t>na</w:t>
      </w:r>
      <w:r w:rsidRPr="00284463">
        <w:rPr>
          <w:color w:val="000000"/>
          <w:lang w:val="cs-CZ"/>
        </w:rPr>
        <w:t> MV využívat flexibilních forem práce v podobě pružné pracovní doby, zkráceného pracovního úvazku, práce z domova, práce na DPP/DPČ či jiné úpravy pracovní doby po dohodě s nadřízeným</w:t>
      </w:r>
      <w:r w:rsidR="00A07E82" w:rsidRPr="00284463">
        <w:rPr>
          <w:color w:val="000000"/>
          <w:lang w:val="cs-CZ"/>
        </w:rPr>
        <w:t>/nadřízenou</w:t>
      </w:r>
      <w:r w:rsidRPr="00284463">
        <w:rPr>
          <w:color w:val="000000"/>
          <w:lang w:val="cs-CZ"/>
        </w:rPr>
        <w:t xml:space="preserve">. </w:t>
      </w:r>
      <w:r w:rsidR="00284463">
        <w:rPr>
          <w:color w:val="000000"/>
          <w:lang w:val="cs-CZ"/>
        </w:rPr>
        <w:t xml:space="preserve">V roce 2020 </w:t>
      </w:r>
      <w:r w:rsidR="00284463" w:rsidRPr="00284463">
        <w:rPr>
          <w:color w:val="000000"/>
          <w:lang w:val="cs-CZ"/>
        </w:rPr>
        <w:t>se zejména významně rozšířil podíl využívání institutu výkonu služby/práce z domova, v daném případě však k jeho využití vedl spí</w:t>
      </w:r>
      <w:r w:rsidR="00284463">
        <w:rPr>
          <w:color w:val="000000"/>
          <w:lang w:val="cs-CZ"/>
        </w:rPr>
        <w:t xml:space="preserve">še požadavek na ochranu zdraví </w:t>
      </w:r>
      <w:r w:rsidR="00284463" w:rsidRPr="00284463">
        <w:rPr>
          <w:color w:val="000000"/>
          <w:lang w:val="cs-CZ"/>
        </w:rPr>
        <w:t xml:space="preserve">státních zaměstnanců, státních zaměstnankyň, zaměstnanců a zaměstnankyň a taktéž požadavek na zachování akceschopnosti pracovních týmů v případě nákazy onemocněním Covid 19. </w:t>
      </w:r>
    </w:p>
    <w:p w14:paraId="433CEA34" w14:textId="77777777" w:rsidR="007C531D" w:rsidRPr="00284463" w:rsidRDefault="007C531D" w:rsidP="00850AAF">
      <w:pPr>
        <w:jc w:val="both"/>
        <w:rPr>
          <w:color w:val="000000"/>
          <w:lang w:val="cs-CZ"/>
        </w:rPr>
      </w:pPr>
    </w:p>
    <w:p w14:paraId="43666308" w14:textId="6D5078F3" w:rsidR="00B06151" w:rsidRPr="00284463" w:rsidRDefault="00B06151" w:rsidP="00850AAF">
      <w:pPr>
        <w:jc w:val="both"/>
        <w:rPr>
          <w:color w:val="000000"/>
          <w:lang w:val="cs-CZ"/>
        </w:rPr>
      </w:pPr>
      <w:r w:rsidRPr="00284463">
        <w:rPr>
          <w:color w:val="000000"/>
          <w:lang w:val="cs-CZ"/>
        </w:rPr>
        <w:t xml:space="preserve">Další významnou aktivitou MV určenou k usnadnění slaďování osobního a rodinného života s výkonem státní služby, resp. zaměstnání je provoz mateřské školy pro děti zaměstnankyň a zaměstnanců MV, v prostorách budovy MV v Praze 7, Nad Štolou 3. Školka je určena pro 22 dětí zaměstnankyň a zaměstnanců MV a příslušnic a příslušníků Policie ČR a Hasičského záchranného sboru. </w:t>
      </w:r>
    </w:p>
    <w:p w14:paraId="49F1FF66" w14:textId="77777777" w:rsidR="00B06151" w:rsidRPr="00284463" w:rsidRDefault="00B06151" w:rsidP="00850AAF">
      <w:pPr>
        <w:jc w:val="both"/>
        <w:rPr>
          <w:color w:val="000000"/>
          <w:lang w:val="cs-CZ"/>
        </w:rPr>
      </w:pPr>
    </w:p>
    <w:p w14:paraId="63DFCF8F" w14:textId="77777777" w:rsidR="00B06151" w:rsidRPr="00284463" w:rsidRDefault="00B06151" w:rsidP="00850AAF">
      <w:pPr>
        <w:jc w:val="both"/>
        <w:rPr>
          <w:color w:val="000000"/>
          <w:lang w:val="cs-CZ"/>
        </w:rPr>
      </w:pPr>
      <w:r w:rsidRPr="00284463">
        <w:rPr>
          <w:color w:val="000000"/>
          <w:lang w:val="cs-CZ"/>
        </w:rPr>
        <w:t>Policie ČR také umožňuje svým zaměstnankyním, zaměstnancům, příslušnicím a příslušníkům na základě jejich žádosti kratší pracovní dobu nebo dobu služby v týdnu. Rovněž na referentských pozicích je mnohým zaměstnankyním/zaměstnancům a příslušnicím/příslušníkům, pokud to umožňuje charakter jejich služby/práce, na jejich žádost umožněna změna rozvržení pracovní doby nebo doby služby zejména z důvodu péče o děti nebo dojíždění do místa výkonu služby.</w:t>
      </w:r>
    </w:p>
    <w:p w14:paraId="1C2A832F" w14:textId="77777777" w:rsidR="00B06151" w:rsidRPr="00284463" w:rsidRDefault="00B06151" w:rsidP="00850AAF">
      <w:pPr>
        <w:jc w:val="both"/>
        <w:rPr>
          <w:color w:val="000000"/>
          <w:lang w:val="cs-CZ"/>
        </w:rPr>
      </w:pPr>
    </w:p>
    <w:p w14:paraId="1D5A6B3B" w14:textId="30780E29" w:rsidR="00B06151" w:rsidRPr="00284463" w:rsidRDefault="00B06151" w:rsidP="00850AAF">
      <w:pPr>
        <w:jc w:val="both"/>
        <w:rPr>
          <w:b/>
          <w:color w:val="000000"/>
          <w:lang w:val="cs-CZ"/>
        </w:rPr>
      </w:pPr>
      <w:r w:rsidRPr="00284463">
        <w:rPr>
          <w:b/>
          <w:color w:val="000000"/>
          <w:lang w:val="cs-CZ"/>
        </w:rPr>
        <w:t>Přehled mužů a žen, kteří v rámci Policie ČR využívají úpravu pracovní doby nebo doby služby</w:t>
      </w:r>
    </w:p>
    <w:p w14:paraId="30D08842" w14:textId="77777777" w:rsidR="00B06151" w:rsidRPr="00284463" w:rsidRDefault="00B06151" w:rsidP="00B06151">
      <w:pPr>
        <w:jc w:val="both"/>
        <w:rPr>
          <w:b/>
          <w:color w:val="000000"/>
          <w:lang w:val="cs-CZ"/>
        </w:rPr>
      </w:pPr>
    </w:p>
    <w:tbl>
      <w:tblPr>
        <w:tblW w:w="4463" w:type="pct"/>
        <w:tblInd w:w="70" w:type="dxa"/>
        <w:tblCellMar>
          <w:left w:w="70" w:type="dxa"/>
          <w:right w:w="70" w:type="dxa"/>
        </w:tblCellMar>
        <w:tblLook w:val="04A0" w:firstRow="1" w:lastRow="0" w:firstColumn="1" w:lastColumn="0" w:noHBand="0" w:noVBand="1"/>
      </w:tblPr>
      <w:tblGrid>
        <w:gridCol w:w="1276"/>
        <w:gridCol w:w="1246"/>
        <w:gridCol w:w="1624"/>
        <w:gridCol w:w="740"/>
        <w:gridCol w:w="793"/>
        <w:gridCol w:w="1260"/>
        <w:gridCol w:w="1282"/>
      </w:tblGrid>
      <w:tr w:rsidR="00B06151" w:rsidRPr="00284463" w14:paraId="0BC33746" w14:textId="77777777" w:rsidTr="007C531D">
        <w:trPr>
          <w:trHeight w:val="314"/>
        </w:trPr>
        <w:tc>
          <w:tcPr>
            <w:tcW w:w="7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080CF0" w14:textId="77777777" w:rsidR="00B06151" w:rsidRPr="00284463" w:rsidRDefault="00B06151" w:rsidP="00B06151">
            <w:pPr>
              <w:jc w:val="center"/>
              <w:rPr>
                <w:lang w:val="cs-CZ"/>
              </w:rPr>
            </w:pPr>
          </w:p>
        </w:tc>
        <w:tc>
          <w:tcPr>
            <w:tcW w:w="4224" w:type="pct"/>
            <w:gridSpan w:val="6"/>
            <w:tcBorders>
              <w:top w:val="single" w:sz="4" w:space="0" w:color="auto"/>
              <w:left w:val="nil"/>
              <w:bottom w:val="nil"/>
              <w:right w:val="single" w:sz="4" w:space="0" w:color="000000"/>
            </w:tcBorders>
            <w:shd w:val="clear" w:color="000000" w:fill="B4C6E7"/>
            <w:noWrap/>
            <w:vAlign w:val="center"/>
            <w:hideMark/>
          </w:tcPr>
          <w:p w14:paraId="0EE53F8A" w14:textId="77777777" w:rsidR="00B06151" w:rsidRPr="00284463" w:rsidRDefault="00B06151" w:rsidP="00B06151">
            <w:pPr>
              <w:jc w:val="center"/>
              <w:rPr>
                <w:lang w:val="cs-CZ"/>
              </w:rPr>
            </w:pPr>
            <w:r w:rsidRPr="00284463">
              <w:rPr>
                <w:lang w:val="cs-CZ"/>
              </w:rPr>
              <w:t>policisté/policistky</w:t>
            </w:r>
          </w:p>
        </w:tc>
      </w:tr>
      <w:tr w:rsidR="00B06151" w:rsidRPr="00284463" w14:paraId="1213483A" w14:textId="77777777" w:rsidTr="007C531D">
        <w:trPr>
          <w:trHeight w:val="1257"/>
        </w:trPr>
        <w:tc>
          <w:tcPr>
            <w:tcW w:w="776" w:type="pct"/>
            <w:vMerge/>
            <w:tcBorders>
              <w:top w:val="single" w:sz="4" w:space="0" w:color="auto"/>
              <w:left w:val="single" w:sz="4" w:space="0" w:color="auto"/>
              <w:bottom w:val="single" w:sz="4" w:space="0" w:color="000000"/>
              <w:right w:val="single" w:sz="4" w:space="0" w:color="auto"/>
            </w:tcBorders>
            <w:vAlign w:val="center"/>
            <w:hideMark/>
          </w:tcPr>
          <w:p w14:paraId="5B2C3D5D" w14:textId="77777777" w:rsidR="00B06151" w:rsidRPr="00284463" w:rsidRDefault="00B06151" w:rsidP="00B06151">
            <w:pPr>
              <w:rPr>
                <w:lang w:val="cs-CZ"/>
              </w:rPr>
            </w:pPr>
          </w:p>
        </w:tc>
        <w:tc>
          <w:tcPr>
            <w:tcW w:w="758" w:type="pct"/>
            <w:tcBorders>
              <w:top w:val="single" w:sz="4" w:space="0" w:color="auto"/>
              <w:left w:val="nil"/>
              <w:bottom w:val="single" w:sz="4" w:space="0" w:color="auto"/>
              <w:right w:val="single" w:sz="4" w:space="0" w:color="auto"/>
            </w:tcBorders>
            <w:shd w:val="clear" w:color="000000" w:fill="D9E1F2"/>
            <w:vAlign w:val="center"/>
            <w:hideMark/>
          </w:tcPr>
          <w:p w14:paraId="4B3AF6D2" w14:textId="77777777" w:rsidR="00B06151" w:rsidRPr="00284463" w:rsidRDefault="00B06151" w:rsidP="00B06151">
            <w:pPr>
              <w:jc w:val="center"/>
              <w:rPr>
                <w:lang w:val="cs-CZ"/>
              </w:rPr>
            </w:pPr>
            <w:r w:rsidRPr="00284463">
              <w:rPr>
                <w:lang w:val="cs-CZ"/>
              </w:rPr>
              <w:t>zkrácená doba služby</w:t>
            </w:r>
          </w:p>
        </w:tc>
        <w:tc>
          <w:tcPr>
            <w:tcW w:w="988" w:type="pct"/>
            <w:tcBorders>
              <w:top w:val="single" w:sz="4" w:space="0" w:color="auto"/>
              <w:left w:val="nil"/>
              <w:bottom w:val="single" w:sz="4" w:space="0" w:color="auto"/>
              <w:right w:val="single" w:sz="4" w:space="0" w:color="auto"/>
            </w:tcBorders>
            <w:shd w:val="clear" w:color="000000" w:fill="D9E1F2"/>
            <w:vAlign w:val="center"/>
            <w:hideMark/>
          </w:tcPr>
          <w:p w14:paraId="301BAE8E" w14:textId="77777777" w:rsidR="00B06151" w:rsidRPr="00284463" w:rsidRDefault="00B06151" w:rsidP="00B06151">
            <w:pPr>
              <w:jc w:val="center"/>
              <w:rPr>
                <w:lang w:val="cs-CZ"/>
              </w:rPr>
            </w:pPr>
            <w:r w:rsidRPr="00284463">
              <w:rPr>
                <w:lang w:val="cs-CZ"/>
              </w:rPr>
              <w:t>podíl z celkového počtu policistů/ek</w:t>
            </w:r>
          </w:p>
        </w:tc>
        <w:tc>
          <w:tcPr>
            <w:tcW w:w="450" w:type="pct"/>
            <w:tcBorders>
              <w:top w:val="single" w:sz="4" w:space="0" w:color="auto"/>
              <w:left w:val="nil"/>
              <w:bottom w:val="single" w:sz="4" w:space="0" w:color="auto"/>
              <w:right w:val="nil"/>
            </w:tcBorders>
            <w:shd w:val="clear" w:color="000000" w:fill="D9E1F2"/>
            <w:vAlign w:val="center"/>
            <w:hideMark/>
          </w:tcPr>
          <w:p w14:paraId="31045661" w14:textId="77777777" w:rsidR="00B06151" w:rsidRPr="00284463" w:rsidRDefault="00B06151" w:rsidP="00B06151">
            <w:pPr>
              <w:jc w:val="center"/>
              <w:rPr>
                <w:lang w:val="cs-CZ"/>
              </w:rPr>
            </w:pPr>
            <w:r w:rsidRPr="00284463">
              <w:rPr>
                <w:lang w:val="cs-CZ"/>
              </w:rPr>
              <w:t>37,5 hodin týdně</w:t>
            </w:r>
          </w:p>
        </w:tc>
        <w:tc>
          <w:tcPr>
            <w:tcW w:w="482" w:type="pct"/>
            <w:tcBorders>
              <w:top w:val="single" w:sz="4" w:space="0" w:color="auto"/>
              <w:left w:val="single" w:sz="4" w:space="0" w:color="auto"/>
              <w:bottom w:val="nil"/>
              <w:right w:val="single" w:sz="4" w:space="0" w:color="auto"/>
            </w:tcBorders>
            <w:shd w:val="clear" w:color="000000" w:fill="D9E1F2"/>
            <w:vAlign w:val="center"/>
            <w:hideMark/>
          </w:tcPr>
          <w:p w14:paraId="0E728415" w14:textId="77777777" w:rsidR="00B06151" w:rsidRPr="00284463" w:rsidRDefault="00B06151" w:rsidP="00B06151">
            <w:pPr>
              <w:jc w:val="center"/>
              <w:rPr>
                <w:lang w:val="cs-CZ"/>
              </w:rPr>
            </w:pPr>
            <w:r w:rsidRPr="00284463">
              <w:rPr>
                <w:lang w:val="cs-CZ"/>
              </w:rPr>
              <w:t>pružná doba</w:t>
            </w:r>
          </w:p>
          <w:p w14:paraId="5A41DFFC" w14:textId="77777777" w:rsidR="00B06151" w:rsidRPr="00284463" w:rsidRDefault="00B06151" w:rsidP="00B06151">
            <w:pPr>
              <w:jc w:val="center"/>
              <w:rPr>
                <w:lang w:val="cs-CZ"/>
              </w:rPr>
            </w:pPr>
            <w:r w:rsidRPr="00284463">
              <w:rPr>
                <w:lang w:val="cs-CZ"/>
              </w:rPr>
              <w:t>služby</w:t>
            </w:r>
          </w:p>
        </w:tc>
        <w:tc>
          <w:tcPr>
            <w:tcW w:w="766" w:type="pct"/>
            <w:tcBorders>
              <w:top w:val="single" w:sz="4" w:space="0" w:color="auto"/>
              <w:left w:val="nil"/>
              <w:bottom w:val="nil"/>
              <w:right w:val="single" w:sz="4" w:space="0" w:color="auto"/>
            </w:tcBorders>
            <w:shd w:val="clear" w:color="000000" w:fill="D9E1F2"/>
            <w:vAlign w:val="center"/>
            <w:hideMark/>
          </w:tcPr>
          <w:p w14:paraId="2C3AB5E4" w14:textId="77777777" w:rsidR="00B06151" w:rsidRPr="00284463" w:rsidRDefault="00B06151" w:rsidP="00B06151">
            <w:pPr>
              <w:jc w:val="center"/>
              <w:rPr>
                <w:lang w:val="cs-CZ"/>
              </w:rPr>
            </w:pPr>
            <w:r w:rsidRPr="00284463">
              <w:rPr>
                <w:lang w:val="cs-CZ"/>
              </w:rPr>
              <w:t>podíl z celkového počtu policistů/ek</w:t>
            </w:r>
          </w:p>
        </w:tc>
        <w:tc>
          <w:tcPr>
            <w:tcW w:w="780" w:type="pct"/>
            <w:tcBorders>
              <w:top w:val="single" w:sz="4" w:space="0" w:color="auto"/>
              <w:left w:val="nil"/>
              <w:bottom w:val="single" w:sz="4" w:space="0" w:color="auto"/>
              <w:right w:val="single" w:sz="4" w:space="0" w:color="auto"/>
            </w:tcBorders>
            <w:shd w:val="clear" w:color="000000" w:fill="D9E1F2"/>
            <w:vAlign w:val="center"/>
            <w:hideMark/>
          </w:tcPr>
          <w:p w14:paraId="6360C285" w14:textId="77777777" w:rsidR="00B06151" w:rsidRPr="00284463" w:rsidRDefault="00B06151" w:rsidP="00B06151">
            <w:pPr>
              <w:jc w:val="center"/>
              <w:rPr>
                <w:lang w:val="cs-CZ"/>
              </w:rPr>
            </w:pPr>
            <w:r w:rsidRPr="00284463">
              <w:rPr>
                <w:lang w:val="cs-CZ"/>
              </w:rPr>
              <w:t>celkem</w:t>
            </w:r>
          </w:p>
        </w:tc>
      </w:tr>
      <w:tr w:rsidR="00B06151" w:rsidRPr="00284463" w14:paraId="1945D535" w14:textId="77777777" w:rsidTr="007C531D">
        <w:trPr>
          <w:trHeight w:val="314"/>
        </w:trPr>
        <w:tc>
          <w:tcPr>
            <w:tcW w:w="776" w:type="pct"/>
            <w:tcBorders>
              <w:top w:val="nil"/>
              <w:left w:val="single" w:sz="4" w:space="0" w:color="auto"/>
              <w:bottom w:val="single" w:sz="4" w:space="0" w:color="auto"/>
              <w:right w:val="nil"/>
            </w:tcBorders>
            <w:shd w:val="clear" w:color="auto" w:fill="auto"/>
            <w:noWrap/>
            <w:vAlign w:val="center"/>
            <w:hideMark/>
          </w:tcPr>
          <w:p w14:paraId="08C69FBB" w14:textId="77777777" w:rsidR="00B06151" w:rsidRPr="00284463" w:rsidRDefault="00B06151" w:rsidP="00B06151">
            <w:pPr>
              <w:jc w:val="center"/>
              <w:rPr>
                <w:lang w:val="cs-CZ"/>
              </w:rPr>
            </w:pPr>
            <w:r w:rsidRPr="00284463">
              <w:rPr>
                <w:lang w:val="cs-CZ"/>
              </w:rPr>
              <w:t>muži</w:t>
            </w:r>
          </w:p>
        </w:tc>
        <w:tc>
          <w:tcPr>
            <w:tcW w:w="758" w:type="pct"/>
            <w:tcBorders>
              <w:top w:val="nil"/>
              <w:left w:val="single" w:sz="4" w:space="0" w:color="auto"/>
              <w:bottom w:val="single" w:sz="4" w:space="0" w:color="auto"/>
              <w:right w:val="single" w:sz="4" w:space="0" w:color="auto"/>
            </w:tcBorders>
            <w:shd w:val="clear" w:color="auto" w:fill="auto"/>
            <w:noWrap/>
            <w:vAlign w:val="center"/>
            <w:hideMark/>
          </w:tcPr>
          <w:p w14:paraId="46EA876C" w14:textId="77777777" w:rsidR="00B06151" w:rsidRPr="00284463" w:rsidRDefault="00B06151" w:rsidP="00B06151">
            <w:pPr>
              <w:jc w:val="center"/>
              <w:rPr>
                <w:lang w:val="cs-CZ"/>
              </w:rPr>
            </w:pPr>
            <w:r w:rsidRPr="00284463">
              <w:rPr>
                <w:lang w:val="cs-CZ"/>
              </w:rPr>
              <w:t>9</w:t>
            </w:r>
          </w:p>
        </w:tc>
        <w:tc>
          <w:tcPr>
            <w:tcW w:w="988" w:type="pct"/>
            <w:tcBorders>
              <w:top w:val="nil"/>
              <w:left w:val="nil"/>
              <w:bottom w:val="single" w:sz="4" w:space="0" w:color="auto"/>
              <w:right w:val="single" w:sz="4" w:space="0" w:color="auto"/>
            </w:tcBorders>
            <w:shd w:val="clear" w:color="auto" w:fill="auto"/>
            <w:noWrap/>
            <w:vAlign w:val="center"/>
            <w:hideMark/>
          </w:tcPr>
          <w:p w14:paraId="2E5A26CF" w14:textId="77777777" w:rsidR="00B06151" w:rsidRPr="00284463" w:rsidRDefault="00B06151" w:rsidP="00B06151">
            <w:pPr>
              <w:jc w:val="center"/>
              <w:rPr>
                <w:lang w:val="cs-CZ"/>
              </w:rPr>
            </w:pPr>
            <w:r w:rsidRPr="00284463">
              <w:rPr>
                <w:lang w:val="cs-CZ"/>
              </w:rPr>
              <w:t>0,02 %</w:t>
            </w:r>
          </w:p>
        </w:tc>
        <w:tc>
          <w:tcPr>
            <w:tcW w:w="450" w:type="pct"/>
            <w:tcBorders>
              <w:top w:val="nil"/>
              <w:left w:val="nil"/>
              <w:bottom w:val="single" w:sz="4" w:space="0" w:color="auto"/>
              <w:right w:val="nil"/>
            </w:tcBorders>
            <w:shd w:val="clear" w:color="auto" w:fill="auto"/>
            <w:noWrap/>
            <w:vAlign w:val="center"/>
            <w:hideMark/>
          </w:tcPr>
          <w:p w14:paraId="538F8E3E" w14:textId="77777777" w:rsidR="00B06151" w:rsidRPr="00284463" w:rsidRDefault="00B06151" w:rsidP="00B06151">
            <w:pPr>
              <w:jc w:val="center"/>
              <w:rPr>
                <w:lang w:val="cs-CZ"/>
              </w:rPr>
            </w:pPr>
            <w:r w:rsidRPr="00284463">
              <w:rPr>
                <w:lang w:val="cs-CZ"/>
              </w:rPr>
              <w:t>33770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0BF75" w14:textId="77777777" w:rsidR="00B06151" w:rsidRPr="00284463" w:rsidRDefault="00B06151" w:rsidP="00B06151">
            <w:pPr>
              <w:jc w:val="center"/>
              <w:rPr>
                <w:lang w:val="cs-CZ"/>
              </w:rPr>
            </w:pPr>
            <w:r w:rsidRPr="00284463">
              <w:rPr>
                <w:lang w:val="cs-CZ"/>
              </w:rPr>
              <w:t>508</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14:paraId="45CDCAAA" w14:textId="77777777" w:rsidR="00B06151" w:rsidRPr="00284463" w:rsidRDefault="00B06151" w:rsidP="00B06151">
            <w:pPr>
              <w:jc w:val="center"/>
              <w:rPr>
                <w:lang w:val="cs-CZ"/>
              </w:rPr>
            </w:pPr>
            <w:r w:rsidRPr="00284463">
              <w:rPr>
                <w:lang w:val="cs-CZ"/>
              </w:rPr>
              <w:t>1,26 %</w:t>
            </w:r>
          </w:p>
        </w:tc>
        <w:tc>
          <w:tcPr>
            <w:tcW w:w="780" w:type="pct"/>
            <w:tcBorders>
              <w:top w:val="nil"/>
              <w:left w:val="nil"/>
              <w:bottom w:val="single" w:sz="4" w:space="0" w:color="auto"/>
              <w:right w:val="single" w:sz="4" w:space="0" w:color="auto"/>
            </w:tcBorders>
            <w:shd w:val="clear" w:color="auto" w:fill="auto"/>
            <w:noWrap/>
            <w:vAlign w:val="center"/>
            <w:hideMark/>
          </w:tcPr>
          <w:p w14:paraId="02E4A976" w14:textId="77777777" w:rsidR="00B06151" w:rsidRPr="00284463" w:rsidRDefault="00B06151" w:rsidP="00B06151">
            <w:pPr>
              <w:jc w:val="center"/>
              <w:rPr>
                <w:lang w:val="cs-CZ"/>
              </w:rPr>
            </w:pPr>
            <w:r w:rsidRPr="00284463">
              <w:rPr>
                <w:lang w:val="cs-CZ"/>
              </w:rPr>
              <w:t>33779</w:t>
            </w:r>
          </w:p>
        </w:tc>
      </w:tr>
      <w:tr w:rsidR="00B06151" w:rsidRPr="00284463" w14:paraId="5DBBE2C8" w14:textId="77777777" w:rsidTr="007C531D">
        <w:trPr>
          <w:trHeight w:val="314"/>
        </w:trPr>
        <w:tc>
          <w:tcPr>
            <w:tcW w:w="776" w:type="pct"/>
            <w:tcBorders>
              <w:top w:val="nil"/>
              <w:left w:val="single" w:sz="4" w:space="0" w:color="auto"/>
              <w:bottom w:val="nil"/>
              <w:right w:val="nil"/>
            </w:tcBorders>
            <w:shd w:val="clear" w:color="auto" w:fill="auto"/>
            <w:noWrap/>
            <w:vAlign w:val="center"/>
            <w:hideMark/>
          </w:tcPr>
          <w:p w14:paraId="271114B8" w14:textId="77777777" w:rsidR="00B06151" w:rsidRPr="00284463" w:rsidRDefault="00B06151" w:rsidP="00B06151">
            <w:pPr>
              <w:jc w:val="center"/>
              <w:rPr>
                <w:lang w:val="cs-CZ"/>
              </w:rPr>
            </w:pPr>
            <w:r w:rsidRPr="00284463">
              <w:rPr>
                <w:lang w:val="cs-CZ"/>
              </w:rPr>
              <w:t>ženy</w:t>
            </w:r>
          </w:p>
        </w:tc>
        <w:tc>
          <w:tcPr>
            <w:tcW w:w="758" w:type="pct"/>
            <w:tcBorders>
              <w:top w:val="nil"/>
              <w:left w:val="single" w:sz="4" w:space="0" w:color="auto"/>
              <w:bottom w:val="nil"/>
              <w:right w:val="single" w:sz="4" w:space="0" w:color="auto"/>
            </w:tcBorders>
            <w:shd w:val="clear" w:color="auto" w:fill="auto"/>
            <w:noWrap/>
            <w:vAlign w:val="center"/>
            <w:hideMark/>
          </w:tcPr>
          <w:p w14:paraId="5554A5BE" w14:textId="77777777" w:rsidR="00B06151" w:rsidRPr="00284463" w:rsidRDefault="00B06151" w:rsidP="00B06151">
            <w:pPr>
              <w:jc w:val="center"/>
              <w:rPr>
                <w:lang w:val="cs-CZ"/>
              </w:rPr>
            </w:pPr>
            <w:r w:rsidRPr="00284463">
              <w:rPr>
                <w:lang w:val="cs-CZ"/>
              </w:rPr>
              <w:t>242</w:t>
            </w:r>
          </w:p>
        </w:tc>
        <w:tc>
          <w:tcPr>
            <w:tcW w:w="988" w:type="pct"/>
            <w:tcBorders>
              <w:top w:val="nil"/>
              <w:left w:val="nil"/>
              <w:bottom w:val="nil"/>
              <w:right w:val="single" w:sz="4" w:space="0" w:color="auto"/>
            </w:tcBorders>
            <w:shd w:val="clear" w:color="auto" w:fill="auto"/>
            <w:noWrap/>
            <w:vAlign w:val="center"/>
            <w:hideMark/>
          </w:tcPr>
          <w:p w14:paraId="2B674E21" w14:textId="77777777" w:rsidR="00B06151" w:rsidRPr="00284463" w:rsidRDefault="00B06151" w:rsidP="00B06151">
            <w:pPr>
              <w:jc w:val="center"/>
              <w:rPr>
                <w:lang w:val="cs-CZ"/>
              </w:rPr>
            </w:pPr>
            <w:r w:rsidRPr="00284463">
              <w:rPr>
                <w:lang w:val="cs-CZ"/>
              </w:rPr>
              <w:t>0,60 %</w:t>
            </w:r>
          </w:p>
        </w:tc>
        <w:tc>
          <w:tcPr>
            <w:tcW w:w="450" w:type="pct"/>
            <w:tcBorders>
              <w:top w:val="nil"/>
              <w:left w:val="nil"/>
              <w:bottom w:val="nil"/>
              <w:right w:val="nil"/>
            </w:tcBorders>
            <w:shd w:val="clear" w:color="auto" w:fill="auto"/>
            <w:noWrap/>
            <w:vAlign w:val="center"/>
            <w:hideMark/>
          </w:tcPr>
          <w:p w14:paraId="352D153E" w14:textId="77777777" w:rsidR="00B06151" w:rsidRPr="00284463" w:rsidRDefault="00B06151" w:rsidP="00B06151">
            <w:pPr>
              <w:jc w:val="center"/>
              <w:rPr>
                <w:lang w:val="cs-CZ"/>
              </w:rPr>
            </w:pPr>
            <w:r w:rsidRPr="00284463">
              <w:rPr>
                <w:lang w:val="cs-CZ"/>
              </w:rPr>
              <w:t>6457</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1D94A96B" w14:textId="77777777" w:rsidR="00B06151" w:rsidRPr="00284463" w:rsidRDefault="00B06151" w:rsidP="00B06151">
            <w:pPr>
              <w:jc w:val="center"/>
              <w:rPr>
                <w:lang w:val="cs-CZ"/>
              </w:rPr>
            </w:pPr>
            <w:r w:rsidRPr="00284463">
              <w:rPr>
                <w:lang w:val="cs-CZ"/>
              </w:rPr>
              <w:t>185</w:t>
            </w:r>
          </w:p>
        </w:tc>
        <w:tc>
          <w:tcPr>
            <w:tcW w:w="766" w:type="pct"/>
            <w:tcBorders>
              <w:top w:val="nil"/>
              <w:left w:val="nil"/>
              <w:bottom w:val="single" w:sz="4" w:space="0" w:color="auto"/>
              <w:right w:val="single" w:sz="4" w:space="0" w:color="auto"/>
            </w:tcBorders>
            <w:shd w:val="clear" w:color="auto" w:fill="auto"/>
            <w:noWrap/>
            <w:vAlign w:val="center"/>
            <w:hideMark/>
          </w:tcPr>
          <w:p w14:paraId="6B3422B1" w14:textId="77777777" w:rsidR="00B06151" w:rsidRPr="00284463" w:rsidRDefault="00B06151" w:rsidP="00B06151">
            <w:pPr>
              <w:jc w:val="center"/>
              <w:rPr>
                <w:lang w:val="cs-CZ"/>
              </w:rPr>
            </w:pPr>
            <w:r w:rsidRPr="00284463">
              <w:rPr>
                <w:lang w:val="cs-CZ"/>
              </w:rPr>
              <w:t>0,46 %</w:t>
            </w:r>
          </w:p>
        </w:tc>
        <w:tc>
          <w:tcPr>
            <w:tcW w:w="780" w:type="pct"/>
            <w:tcBorders>
              <w:top w:val="nil"/>
              <w:left w:val="single" w:sz="4" w:space="0" w:color="auto"/>
              <w:bottom w:val="nil"/>
              <w:right w:val="single" w:sz="4" w:space="0" w:color="auto"/>
            </w:tcBorders>
            <w:shd w:val="clear" w:color="auto" w:fill="auto"/>
            <w:noWrap/>
            <w:vAlign w:val="center"/>
            <w:hideMark/>
          </w:tcPr>
          <w:p w14:paraId="4A23E2AD" w14:textId="77777777" w:rsidR="00B06151" w:rsidRPr="00284463" w:rsidRDefault="00B06151" w:rsidP="00B06151">
            <w:pPr>
              <w:jc w:val="center"/>
              <w:rPr>
                <w:lang w:val="cs-CZ"/>
              </w:rPr>
            </w:pPr>
            <w:r w:rsidRPr="00284463">
              <w:rPr>
                <w:lang w:val="cs-CZ"/>
              </w:rPr>
              <w:t>6699</w:t>
            </w:r>
          </w:p>
        </w:tc>
      </w:tr>
      <w:tr w:rsidR="00B06151" w:rsidRPr="00284463" w14:paraId="7E239565" w14:textId="77777777" w:rsidTr="007C531D">
        <w:trPr>
          <w:trHeight w:val="314"/>
        </w:trPr>
        <w:tc>
          <w:tcPr>
            <w:tcW w:w="776" w:type="pct"/>
            <w:tcBorders>
              <w:top w:val="single" w:sz="4" w:space="0" w:color="auto"/>
              <w:left w:val="single" w:sz="4" w:space="0" w:color="auto"/>
              <w:bottom w:val="single" w:sz="4" w:space="0" w:color="auto"/>
              <w:right w:val="nil"/>
            </w:tcBorders>
            <w:shd w:val="clear" w:color="auto" w:fill="auto"/>
            <w:noWrap/>
            <w:vAlign w:val="center"/>
            <w:hideMark/>
          </w:tcPr>
          <w:p w14:paraId="0BF80DFE" w14:textId="77777777" w:rsidR="00B06151" w:rsidRPr="00284463" w:rsidRDefault="00B06151" w:rsidP="00B06151">
            <w:pPr>
              <w:jc w:val="center"/>
              <w:rPr>
                <w:lang w:val="cs-CZ"/>
              </w:rPr>
            </w:pPr>
            <w:r w:rsidRPr="00284463">
              <w:rPr>
                <w:lang w:val="cs-CZ"/>
              </w:rPr>
              <w:t>celkem</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D7C00" w14:textId="77777777" w:rsidR="00B06151" w:rsidRPr="00284463" w:rsidRDefault="00B06151" w:rsidP="00B06151">
            <w:pPr>
              <w:jc w:val="center"/>
              <w:rPr>
                <w:lang w:val="cs-CZ"/>
              </w:rPr>
            </w:pPr>
            <w:r w:rsidRPr="00284463">
              <w:rPr>
                <w:lang w:val="cs-CZ"/>
              </w:rPr>
              <w:t>251</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14:paraId="3FCAE4B7" w14:textId="77777777" w:rsidR="00B06151" w:rsidRPr="00284463" w:rsidRDefault="00B06151" w:rsidP="00B06151">
            <w:pPr>
              <w:jc w:val="center"/>
              <w:rPr>
                <w:lang w:val="cs-CZ"/>
              </w:rPr>
            </w:pPr>
            <w:r w:rsidRPr="00284463">
              <w:rPr>
                <w:lang w:val="cs-CZ"/>
              </w:rPr>
              <w:t>0,62 %</w:t>
            </w:r>
          </w:p>
        </w:tc>
        <w:tc>
          <w:tcPr>
            <w:tcW w:w="450" w:type="pct"/>
            <w:tcBorders>
              <w:top w:val="single" w:sz="4" w:space="0" w:color="auto"/>
              <w:left w:val="nil"/>
              <w:bottom w:val="single" w:sz="4" w:space="0" w:color="auto"/>
              <w:right w:val="nil"/>
            </w:tcBorders>
            <w:shd w:val="clear" w:color="auto" w:fill="auto"/>
            <w:noWrap/>
            <w:vAlign w:val="center"/>
            <w:hideMark/>
          </w:tcPr>
          <w:p w14:paraId="65B51CB7" w14:textId="77777777" w:rsidR="00B06151" w:rsidRPr="00284463" w:rsidRDefault="00B06151" w:rsidP="00B06151">
            <w:pPr>
              <w:jc w:val="center"/>
              <w:rPr>
                <w:lang w:val="cs-CZ"/>
              </w:rPr>
            </w:pPr>
            <w:r w:rsidRPr="00284463">
              <w:rPr>
                <w:lang w:val="cs-CZ"/>
              </w:rPr>
              <w:t>40227</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14:paraId="701B8952" w14:textId="77777777" w:rsidR="00B06151" w:rsidRPr="00284463" w:rsidRDefault="00B06151" w:rsidP="00B06151">
            <w:pPr>
              <w:jc w:val="center"/>
              <w:rPr>
                <w:lang w:val="cs-CZ"/>
              </w:rPr>
            </w:pPr>
            <w:r w:rsidRPr="00284463">
              <w:rPr>
                <w:lang w:val="cs-CZ"/>
              </w:rPr>
              <w:t>693</w:t>
            </w:r>
          </w:p>
        </w:tc>
        <w:tc>
          <w:tcPr>
            <w:tcW w:w="766" w:type="pct"/>
            <w:tcBorders>
              <w:top w:val="nil"/>
              <w:left w:val="nil"/>
              <w:bottom w:val="single" w:sz="4" w:space="0" w:color="auto"/>
              <w:right w:val="single" w:sz="4" w:space="0" w:color="auto"/>
            </w:tcBorders>
            <w:shd w:val="clear" w:color="auto" w:fill="auto"/>
            <w:noWrap/>
            <w:vAlign w:val="center"/>
            <w:hideMark/>
          </w:tcPr>
          <w:p w14:paraId="6B6FFDC1" w14:textId="77777777" w:rsidR="00B06151" w:rsidRPr="00284463" w:rsidRDefault="00B06151" w:rsidP="00B06151">
            <w:pPr>
              <w:jc w:val="center"/>
              <w:rPr>
                <w:lang w:val="cs-CZ"/>
              </w:rPr>
            </w:pPr>
            <w:r w:rsidRPr="00284463">
              <w:rPr>
                <w:lang w:val="cs-CZ"/>
              </w:rPr>
              <w:t>1,71 %</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14:paraId="4266D5C4" w14:textId="77777777" w:rsidR="00B06151" w:rsidRPr="00284463" w:rsidRDefault="00B06151" w:rsidP="00B06151">
            <w:pPr>
              <w:jc w:val="center"/>
              <w:rPr>
                <w:lang w:val="cs-CZ"/>
              </w:rPr>
            </w:pPr>
            <w:r w:rsidRPr="00284463">
              <w:rPr>
                <w:lang w:val="cs-CZ"/>
              </w:rPr>
              <w:t>40478</w:t>
            </w:r>
          </w:p>
        </w:tc>
      </w:tr>
    </w:tbl>
    <w:p w14:paraId="362731B0" w14:textId="77777777" w:rsidR="00B06151" w:rsidRPr="00284463" w:rsidRDefault="00B06151" w:rsidP="00B06151">
      <w:pPr>
        <w:jc w:val="center"/>
        <w:rPr>
          <w:b/>
          <w:color w:val="000000"/>
          <w:lang w:val="cs-CZ"/>
        </w:rPr>
      </w:pPr>
    </w:p>
    <w:p w14:paraId="18A9F94B" w14:textId="77777777" w:rsidR="00B06151" w:rsidRPr="00284463" w:rsidRDefault="00B06151" w:rsidP="00B06151">
      <w:pPr>
        <w:ind w:right="4531"/>
        <w:jc w:val="center"/>
        <w:rPr>
          <w:b/>
          <w:lang w:val="cs-CZ"/>
        </w:rPr>
      </w:pPr>
    </w:p>
    <w:tbl>
      <w:tblPr>
        <w:tblW w:w="4464" w:type="pct"/>
        <w:tblInd w:w="70" w:type="dxa"/>
        <w:tblLayout w:type="fixed"/>
        <w:tblCellMar>
          <w:left w:w="70" w:type="dxa"/>
          <w:right w:w="70" w:type="dxa"/>
        </w:tblCellMar>
        <w:tblLook w:val="04A0" w:firstRow="1" w:lastRow="0" w:firstColumn="1" w:lastColumn="0" w:noHBand="0" w:noVBand="1"/>
      </w:tblPr>
      <w:tblGrid>
        <w:gridCol w:w="1276"/>
        <w:gridCol w:w="1275"/>
        <w:gridCol w:w="1559"/>
        <w:gridCol w:w="709"/>
        <w:gridCol w:w="850"/>
        <w:gridCol w:w="1418"/>
        <w:gridCol w:w="1136"/>
      </w:tblGrid>
      <w:tr w:rsidR="00B06151" w:rsidRPr="00284463" w14:paraId="3F2770FD" w14:textId="77777777" w:rsidTr="007C531D">
        <w:trPr>
          <w:trHeight w:val="300"/>
        </w:trPr>
        <w:tc>
          <w:tcPr>
            <w:tcW w:w="7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CD693E" w14:textId="77777777" w:rsidR="00B06151" w:rsidRPr="00284463" w:rsidRDefault="00B06151" w:rsidP="00B06151">
            <w:pPr>
              <w:jc w:val="center"/>
              <w:rPr>
                <w:lang w:val="cs-CZ"/>
              </w:rPr>
            </w:pPr>
          </w:p>
        </w:tc>
        <w:tc>
          <w:tcPr>
            <w:tcW w:w="4224" w:type="pct"/>
            <w:gridSpan w:val="6"/>
            <w:tcBorders>
              <w:top w:val="single" w:sz="4" w:space="0" w:color="auto"/>
              <w:left w:val="single" w:sz="4" w:space="0" w:color="auto"/>
              <w:bottom w:val="single" w:sz="4" w:space="0" w:color="auto"/>
              <w:right w:val="single" w:sz="4" w:space="0" w:color="000000"/>
            </w:tcBorders>
            <w:shd w:val="clear" w:color="000000" w:fill="F8CBAD"/>
            <w:noWrap/>
            <w:vAlign w:val="center"/>
            <w:hideMark/>
          </w:tcPr>
          <w:p w14:paraId="224B55CD" w14:textId="77777777" w:rsidR="00B06151" w:rsidRPr="00284463" w:rsidRDefault="00B06151" w:rsidP="00B06151">
            <w:pPr>
              <w:jc w:val="center"/>
              <w:rPr>
                <w:lang w:val="cs-CZ"/>
              </w:rPr>
            </w:pPr>
            <w:r w:rsidRPr="00284463">
              <w:rPr>
                <w:lang w:val="cs-CZ"/>
              </w:rPr>
              <w:t>zaměstnanci/zaměstnankyně</w:t>
            </w:r>
          </w:p>
        </w:tc>
      </w:tr>
      <w:tr w:rsidR="00B06151" w:rsidRPr="00284463" w14:paraId="42B5F601" w14:textId="77777777" w:rsidTr="007C531D">
        <w:trPr>
          <w:trHeight w:val="1200"/>
        </w:trPr>
        <w:tc>
          <w:tcPr>
            <w:tcW w:w="776" w:type="pct"/>
            <w:vMerge/>
            <w:tcBorders>
              <w:top w:val="single" w:sz="4" w:space="0" w:color="auto"/>
              <w:left w:val="single" w:sz="4" w:space="0" w:color="auto"/>
              <w:bottom w:val="single" w:sz="4" w:space="0" w:color="000000"/>
              <w:right w:val="single" w:sz="4" w:space="0" w:color="auto"/>
            </w:tcBorders>
            <w:vAlign w:val="center"/>
            <w:hideMark/>
          </w:tcPr>
          <w:p w14:paraId="672679BE" w14:textId="77777777" w:rsidR="00B06151" w:rsidRPr="00284463" w:rsidRDefault="00B06151" w:rsidP="00B06151">
            <w:pPr>
              <w:jc w:val="center"/>
              <w:rPr>
                <w:lang w:val="cs-CZ"/>
              </w:rPr>
            </w:pPr>
          </w:p>
        </w:tc>
        <w:tc>
          <w:tcPr>
            <w:tcW w:w="775" w:type="pct"/>
            <w:tcBorders>
              <w:top w:val="nil"/>
              <w:left w:val="nil"/>
              <w:bottom w:val="single" w:sz="4" w:space="0" w:color="auto"/>
              <w:right w:val="single" w:sz="4" w:space="0" w:color="auto"/>
            </w:tcBorders>
            <w:shd w:val="clear" w:color="000000" w:fill="FCE4D6"/>
            <w:vAlign w:val="center"/>
            <w:hideMark/>
          </w:tcPr>
          <w:p w14:paraId="4A195413" w14:textId="77777777" w:rsidR="00B06151" w:rsidRPr="00284463" w:rsidRDefault="00B06151" w:rsidP="00B06151">
            <w:pPr>
              <w:jc w:val="center"/>
              <w:rPr>
                <w:lang w:val="cs-CZ"/>
              </w:rPr>
            </w:pPr>
            <w:r w:rsidRPr="00284463">
              <w:rPr>
                <w:lang w:val="cs-CZ"/>
              </w:rPr>
              <w:t>zkrácená pracovní doba</w:t>
            </w:r>
          </w:p>
        </w:tc>
        <w:tc>
          <w:tcPr>
            <w:tcW w:w="948" w:type="pct"/>
            <w:tcBorders>
              <w:top w:val="single" w:sz="4" w:space="0" w:color="auto"/>
              <w:left w:val="nil"/>
              <w:bottom w:val="single" w:sz="4" w:space="0" w:color="auto"/>
              <w:right w:val="single" w:sz="4" w:space="0" w:color="auto"/>
            </w:tcBorders>
            <w:shd w:val="clear" w:color="000000" w:fill="FCE4D6"/>
            <w:vAlign w:val="center"/>
            <w:hideMark/>
          </w:tcPr>
          <w:p w14:paraId="48BB45E0" w14:textId="77777777" w:rsidR="00B06151" w:rsidRPr="00284463" w:rsidRDefault="00B06151" w:rsidP="00B06151">
            <w:pPr>
              <w:jc w:val="center"/>
              <w:rPr>
                <w:lang w:val="cs-CZ"/>
              </w:rPr>
            </w:pPr>
            <w:r w:rsidRPr="00284463">
              <w:rPr>
                <w:lang w:val="cs-CZ"/>
              </w:rPr>
              <w:t>podíl z celkového počtu zaměstnanců/kyň</w:t>
            </w:r>
          </w:p>
        </w:tc>
        <w:tc>
          <w:tcPr>
            <w:tcW w:w="431" w:type="pct"/>
            <w:tcBorders>
              <w:top w:val="nil"/>
              <w:left w:val="single" w:sz="4" w:space="0" w:color="auto"/>
              <w:bottom w:val="single" w:sz="4" w:space="0" w:color="auto"/>
              <w:right w:val="single" w:sz="4" w:space="0" w:color="auto"/>
            </w:tcBorders>
            <w:shd w:val="clear" w:color="000000" w:fill="FCE4D6"/>
            <w:vAlign w:val="center"/>
            <w:hideMark/>
          </w:tcPr>
          <w:p w14:paraId="53748E92" w14:textId="77777777" w:rsidR="00B06151" w:rsidRPr="00284463" w:rsidRDefault="00B06151" w:rsidP="00B06151">
            <w:pPr>
              <w:jc w:val="center"/>
              <w:rPr>
                <w:lang w:val="cs-CZ"/>
              </w:rPr>
            </w:pPr>
            <w:r w:rsidRPr="00284463">
              <w:rPr>
                <w:lang w:val="cs-CZ"/>
              </w:rPr>
              <w:t>40 hodin týdně</w:t>
            </w:r>
          </w:p>
        </w:tc>
        <w:tc>
          <w:tcPr>
            <w:tcW w:w="517" w:type="pct"/>
            <w:tcBorders>
              <w:top w:val="nil"/>
              <w:left w:val="nil"/>
              <w:bottom w:val="single" w:sz="4" w:space="0" w:color="auto"/>
              <w:right w:val="single" w:sz="4" w:space="0" w:color="auto"/>
            </w:tcBorders>
            <w:shd w:val="clear" w:color="000000" w:fill="FCE4D6"/>
            <w:vAlign w:val="center"/>
            <w:hideMark/>
          </w:tcPr>
          <w:p w14:paraId="398E5BF8" w14:textId="728431FE" w:rsidR="00B06151" w:rsidRPr="00284463" w:rsidRDefault="00284463" w:rsidP="007C531D">
            <w:pPr>
              <w:jc w:val="center"/>
              <w:rPr>
                <w:lang w:val="cs-CZ"/>
              </w:rPr>
            </w:pPr>
            <w:r w:rsidRPr="00284463">
              <w:rPr>
                <w:lang w:val="cs-CZ"/>
              </w:rPr>
              <w:t>pružná prac</w:t>
            </w:r>
            <w:r>
              <w:rPr>
                <w:lang w:val="cs-CZ"/>
              </w:rPr>
              <w:t>ovní</w:t>
            </w:r>
            <w:r w:rsidRPr="00284463">
              <w:rPr>
                <w:lang w:val="cs-CZ"/>
              </w:rPr>
              <w:t xml:space="preserve"> doba</w:t>
            </w:r>
          </w:p>
        </w:tc>
        <w:tc>
          <w:tcPr>
            <w:tcW w:w="862" w:type="pct"/>
            <w:tcBorders>
              <w:top w:val="nil"/>
              <w:left w:val="nil"/>
              <w:bottom w:val="single" w:sz="4" w:space="0" w:color="auto"/>
              <w:right w:val="single" w:sz="4" w:space="0" w:color="auto"/>
            </w:tcBorders>
            <w:shd w:val="clear" w:color="000000" w:fill="FCE4D6"/>
            <w:vAlign w:val="center"/>
            <w:hideMark/>
          </w:tcPr>
          <w:p w14:paraId="256B0646" w14:textId="77777777" w:rsidR="00B06151" w:rsidRPr="00284463" w:rsidRDefault="00B06151" w:rsidP="00B06151">
            <w:pPr>
              <w:jc w:val="center"/>
              <w:rPr>
                <w:lang w:val="cs-CZ"/>
              </w:rPr>
            </w:pPr>
            <w:r w:rsidRPr="00284463">
              <w:rPr>
                <w:lang w:val="cs-CZ"/>
              </w:rPr>
              <w:t>podíl z celkového počtu zaměstnanců/kyň</w:t>
            </w:r>
          </w:p>
        </w:tc>
        <w:tc>
          <w:tcPr>
            <w:tcW w:w="691" w:type="pct"/>
            <w:tcBorders>
              <w:top w:val="nil"/>
              <w:left w:val="nil"/>
              <w:bottom w:val="single" w:sz="4" w:space="0" w:color="auto"/>
              <w:right w:val="single" w:sz="4" w:space="0" w:color="auto"/>
            </w:tcBorders>
            <w:shd w:val="clear" w:color="000000" w:fill="FCE4D6"/>
            <w:vAlign w:val="center"/>
            <w:hideMark/>
          </w:tcPr>
          <w:p w14:paraId="15DC625B" w14:textId="77777777" w:rsidR="00B06151" w:rsidRPr="00284463" w:rsidRDefault="00B06151" w:rsidP="00B06151">
            <w:pPr>
              <w:jc w:val="center"/>
              <w:rPr>
                <w:lang w:val="cs-CZ"/>
              </w:rPr>
            </w:pPr>
            <w:r w:rsidRPr="00284463">
              <w:rPr>
                <w:lang w:val="cs-CZ"/>
              </w:rPr>
              <w:t>celkem</w:t>
            </w:r>
          </w:p>
        </w:tc>
      </w:tr>
      <w:tr w:rsidR="00B06151" w:rsidRPr="00284463" w14:paraId="0E8929D4" w14:textId="77777777" w:rsidTr="007C531D">
        <w:trPr>
          <w:trHeight w:val="300"/>
        </w:trPr>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59AB6000" w14:textId="77777777" w:rsidR="00B06151" w:rsidRPr="00284463" w:rsidRDefault="00B06151" w:rsidP="00B06151">
            <w:pPr>
              <w:jc w:val="center"/>
              <w:rPr>
                <w:lang w:val="cs-CZ"/>
              </w:rPr>
            </w:pPr>
            <w:r w:rsidRPr="00284463">
              <w:rPr>
                <w:lang w:val="cs-CZ"/>
              </w:rPr>
              <w:t>muži</w:t>
            </w:r>
          </w:p>
        </w:tc>
        <w:tc>
          <w:tcPr>
            <w:tcW w:w="775" w:type="pct"/>
            <w:tcBorders>
              <w:top w:val="nil"/>
              <w:left w:val="single" w:sz="4" w:space="0" w:color="auto"/>
              <w:bottom w:val="single" w:sz="4" w:space="0" w:color="auto"/>
              <w:right w:val="single" w:sz="4" w:space="0" w:color="auto"/>
            </w:tcBorders>
            <w:shd w:val="clear" w:color="auto" w:fill="auto"/>
            <w:noWrap/>
            <w:vAlign w:val="center"/>
            <w:hideMark/>
          </w:tcPr>
          <w:p w14:paraId="1E8EBF76" w14:textId="77777777" w:rsidR="00B06151" w:rsidRPr="00284463" w:rsidRDefault="00B06151" w:rsidP="00B06151">
            <w:pPr>
              <w:jc w:val="center"/>
              <w:rPr>
                <w:lang w:val="cs-CZ"/>
              </w:rPr>
            </w:pPr>
            <w:r w:rsidRPr="00284463">
              <w:rPr>
                <w:lang w:val="cs-CZ"/>
              </w:rPr>
              <w:t>118</w:t>
            </w:r>
          </w:p>
        </w:tc>
        <w:tc>
          <w:tcPr>
            <w:tcW w:w="948" w:type="pct"/>
            <w:tcBorders>
              <w:top w:val="nil"/>
              <w:left w:val="nil"/>
              <w:bottom w:val="single" w:sz="4" w:space="0" w:color="auto"/>
              <w:right w:val="single" w:sz="4" w:space="0" w:color="auto"/>
            </w:tcBorders>
            <w:shd w:val="clear" w:color="auto" w:fill="auto"/>
            <w:noWrap/>
            <w:vAlign w:val="center"/>
            <w:hideMark/>
          </w:tcPr>
          <w:p w14:paraId="6553D513" w14:textId="77777777" w:rsidR="00B06151" w:rsidRPr="00284463" w:rsidRDefault="00B06151" w:rsidP="00B06151">
            <w:pPr>
              <w:jc w:val="center"/>
              <w:rPr>
                <w:lang w:val="cs-CZ"/>
              </w:rPr>
            </w:pPr>
            <w:r w:rsidRPr="00284463">
              <w:rPr>
                <w:lang w:val="cs-CZ"/>
              </w:rPr>
              <w:t>1,20 %</w:t>
            </w:r>
          </w:p>
        </w:tc>
        <w:tc>
          <w:tcPr>
            <w:tcW w:w="431" w:type="pct"/>
            <w:tcBorders>
              <w:top w:val="nil"/>
              <w:left w:val="nil"/>
              <w:bottom w:val="single" w:sz="4" w:space="0" w:color="auto"/>
              <w:right w:val="single" w:sz="4" w:space="0" w:color="auto"/>
            </w:tcBorders>
            <w:shd w:val="clear" w:color="auto" w:fill="auto"/>
            <w:noWrap/>
            <w:vAlign w:val="center"/>
            <w:hideMark/>
          </w:tcPr>
          <w:p w14:paraId="5C22377B" w14:textId="77777777" w:rsidR="00B06151" w:rsidRPr="00284463" w:rsidRDefault="00B06151" w:rsidP="00B06151">
            <w:pPr>
              <w:jc w:val="center"/>
              <w:rPr>
                <w:lang w:val="cs-CZ"/>
              </w:rPr>
            </w:pPr>
            <w:r w:rsidRPr="00284463">
              <w:rPr>
                <w:lang w:val="cs-CZ"/>
              </w:rPr>
              <w:t>3491</w:t>
            </w:r>
          </w:p>
        </w:tc>
        <w:tc>
          <w:tcPr>
            <w:tcW w:w="517" w:type="pct"/>
            <w:tcBorders>
              <w:top w:val="nil"/>
              <w:left w:val="nil"/>
              <w:bottom w:val="single" w:sz="4" w:space="0" w:color="auto"/>
              <w:right w:val="single" w:sz="4" w:space="0" w:color="auto"/>
            </w:tcBorders>
            <w:shd w:val="clear" w:color="auto" w:fill="auto"/>
            <w:noWrap/>
            <w:vAlign w:val="center"/>
            <w:hideMark/>
          </w:tcPr>
          <w:p w14:paraId="27B75402" w14:textId="77777777" w:rsidR="00B06151" w:rsidRPr="00284463" w:rsidRDefault="00B06151" w:rsidP="00B06151">
            <w:pPr>
              <w:jc w:val="center"/>
              <w:rPr>
                <w:lang w:val="cs-CZ"/>
              </w:rPr>
            </w:pPr>
            <w:r w:rsidRPr="00284463">
              <w:rPr>
                <w:lang w:val="cs-CZ"/>
              </w:rPr>
              <w:t>54</w:t>
            </w:r>
          </w:p>
        </w:tc>
        <w:tc>
          <w:tcPr>
            <w:tcW w:w="862" w:type="pct"/>
            <w:tcBorders>
              <w:top w:val="nil"/>
              <w:left w:val="nil"/>
              <w:bottom w:val="single" w:sz="4" w:space="0" w:color="auto"/>
              <w:right w:val="single" w:sz="4" w:space="0" w:color="auto"/>
            </w:tcBorders>
            <w:shd w:val="clear" w:color="auto" w:fill="auto"/>
            <w:noWrap/>
            <w:vAlign w:val="center"/>
            <w:hideMark/>
          </w:tcPr>
          <w:p w14:paraId="3F1EA0E6" w14:textId="77777777" w:rsidR="00B06151" w:rsidRPr="00284463" w:rsidRDefault="00B06151" w:rsidP="00B06151">
            <w:pPr>
              <w:jc w:val="center"/>
              <w:rPr>
                <w:lang w:val="cs-CZ"/>
              </w:rPr>
            </w:pPr>
            <w:r w:rsidRPr="00284463">
              <w:rPr>
                <w:lang w:val="cs-CZ"/>
              </w:rPr>
              <w:t>0,55 %</w:t>
            </w:r>
          </w:p>
        </w:tc>
        <w:tc>
          <w:tcPr>
            <w:tcW w:w="691" w:type="pct"/>
            <w:tcBorders>
              <w:top w:val="nil"/>
              <w:left w:val="nil"/>
              <w:bottom w:val="single" w:sz="4" w:space="0" w:color="auto"/>
              <w:right w:val="single" w:sz="4" w:space="0" w:color="auto"/>
            </w:tcBorders>
            <w:shd w:val="clear" w:color="auto" w:fill="auto"/>
            <w:noWrap/>
            <w:vAlign w:val="center"/>
            <w:hideMark/>
          </w:tcPr>
          <w:p w14:paraId="150F7F09" w14:textId="77777777" w:rsidR="00B06151" w:rsidRPr="00284463" w:rsidRDefault="00B06151" w:rsidP="00B06151">
            <w:pPr>
              <w:jc w:val="center"/>
              <w:rPr>
                <w:lang w:val="cs-CZ"/>
              </w:rPr>
            </w:pPr>
            <w:r w:rsidRPr="00284463">
              <w:rPr>
                <w:lang w:val="cs-CZ"/>
              </w:rPr>
              <w:t>3609</w:t>
            </w:r>
          </w:p>
        </w:tc>
      </w:tr>
      <w:tr w:rsidR="00B06151" w:rsidRPr="00284463" w14:paraId="08570985" w14:textId="77777777" w:rsidTr="007C531D">
        <w:trPr>
          <w:trHeight w:val="300"/>
        </w:trPr>
        <w:tc>
          <w:tcPr>
            <w:tcW w:w="776" w:type="pct"/>
            <w:tcBorders>
              <w:top w:val="nil"/>
              <w:left w:val="single" w:sz="4" w:space="0" w:color="auto"/>
              <w:bottom w:val="nil"/>
              <w:right w:val="nil"/>
            </w:tcBorders>
            <w:shd w:val="clear" w:color="auto" w:fill="auto"/>
            <w:noWrap/>
            <w:vAlign w:val="center"/>
            <w:hideMark/>
          </w:tcPr>
          <w:p w14:paraId="3F166E47" w14:textId="77777777" w:rsidR="00B06151" w:rsidRPr="00284463" w:rsidRDefault="00B06151" w:rsidP="00B06151">
            <w:pPr>
              <w:rPr>
                <w:lang w:val="cs-CZ"/>
              </w:rPr>
            </w:pPr>
            <w:r w:rsidRPr="00284463">
              <w:rPr>
                <w:lang w:val="cs-CZ"/>
              </w:rPr>
              <w:t xml:space="preserve">   ženy</w:t>
            </w:r>
          </w:p>
        </w:tc>
        <w:tc>
          <w:tcPr>
            <w:tcW w:w="775" w:type="pct"/>
            <w:tcBorders>
              <w:top w:val="nil"/>
              <w:left w:val="single" w:sz="4" w:space="0" w:color="auto"/>
              <w:bottom w:val="nil"/>
              <w:right w:val="single" w:sz="4" w:space="0" w:color="auto"/>
            </w:tcBorders>
            <w:shd w:val="clear" w:color="auto" w:fill="auto"/>
            <w:noWrap/>
            <w:vAlign w:val="center"/>
            <w:hideMark/>
          </w:tcPr>
          <w:p w14:paraId="5A915F7A" w14:textId="77777777" w:rsidR="00B06151" w:rsidRPr="00284463" w:rsidRDefault="00B06151" w:rsidP="00B06151">
            <w:pPr>
              <w:jc w:val="center"/>
              <w:rPr>
                <w:lang w:val="cs-CZ"/>
              </w:rPr>
            </w:pPr>
            <w:r w:rsidRPr="00284463">
              <w:rPr>
                <w:lang w:val="cs-CZ"/>
              </w:rPr>
              <w:t>710</w:t>
            </w:r>
          </w:p>
        </w:tc>
        <w:tc>
          <w:tcPr>
            <w:tcW w:w="948" w:type="pct"/>
            <w:tcBorders>
              <w:top w:val="nil"/>
              <w:left w:val="nil"/>
              <w:bottom w:val="nil"/>
              <w:right w:val="single" w:sz="4" w:space="0" w:color="auto"/>
            </w:tcBorders>
            <w:shd w:val="clear" w:color="auto" w:fill="auto"/>
            <w:noWrap/>
            <w:vAlign w:val="center"/>
            <w:hideMark/>
          </w:tcPr>
          <w:p w14:paraId="1608A251" w14:textId="77777777" w:rsidR="00B06151" w:rsidRPr="00284463" w:rsidRDefault="00B06151" w:rsidP="00B06151">
            <w:pPr>
              <w:jc w:val="center"/>
              <w:rPr>
                <w:lang w:val="cs-CZ"/>
              </w:rPr>
            </w:pPr>
            <w:r w:rsidRPr="00284463">
              <w:rPr>
                <w:lang w:val="cs-CZ"/>
              </w:rPr>
              <w:t>7,21 %</w:t>
            </w:r>
          </w:p>
        </w:tc>
        <w:tc>
          <w:tcPr>
            <w:tcW w:w="431" w:type="pct"/>
            <w:tcBorders>
              <w:top w:val="nil"/>
              <w:left w:val="single" w:sz="4" w:space="0" w:color="auto"/>
              <w:bottom w:val="nil"/>
              <w:right w:val="single" w:sz="4" w:space="0" w:color="auto"/>
            </w:tcBorders>
            <w:shd w:val="clear" w:color="auto" w:fill="auto"/>
            <w:noWrap/>
            <w:vAlign w:val="center"/>
            <w:hideMark/>
          </w:tcPr>
          <w:p w14:paraId="6447AC7B" w14:textId="77777777" w:rsidR="00B06151" w:rsidRPr="00284463" w:rsidRDefault="00B06151" w:rsidP="00B06151">
            <w:pPr>
              <w:jc w:val="center"/>
              <w:rPr>
                <w:lang w:val="cs-CZ"/>
              </w:rPr>
            </w:pPr>
            <w:r w:rsidRPr="00284463">
              <w:rPr>
                <w:lang w:val="cs-CZ"/>
              </w:rPr>
              <w:t>5527</w:t>
            </w:r>
          </w:p>
        </w:tc>
        <w:tc>
          <w:tcPr>
            <w:tcW w:w="517" w:type="pct"/>
            <w:tcBorders>
              <w:top w:val="nil"/>
              <w:left w:val="nil"/>
              <w:bottom w:val="nil"/>
              <w:right w:val="single" w:sz="4" w:space="0" w:color="auto"/>
            </w:tcBorders>
            <w:shd w:val="clear" w:color="auto" w:fill="auto"/>
            <w:noWrap/>
            <w:vAlign w:val="center"/>
            <w:hideMark/>
          </w:tcPr>
          <w:p w14:paraId="2CB0C739" w14:textId="77777777" w:rsidR="00B06151" w:rsidRPr="00284463" w:rsidRDefault="00B06151" w:rsidP="00B06151">
            <w:pPr>
              <w:jc w:val="center"/>
              <w:rPr>
                <w:lang w:val="cs-CZ"/>
              </w:rPr>
            </w:pPr>
            <w:r w:rsidRPr="00284463">
              <w:rPr>
                <w:lang w:val="cs-CZ"/>
              </w:rPr>
              <w:t>95</w:t>
            </w:r>
          </w:p>
        </w:tc>
        <w:tc>
          <w:tcPr>
            <w:tcW w:w="862" w:type="pct"/>
            <w:tcBorders>
              <w:top w:val="nil"/>
              <w:left w:val="nil"/>
              <w:bottom w:val="nil"/>
              <w:right w:val="single" w:sz="4" w:space="0" w:color="auto"/>
            </w:tcBorders>
            <w:shd w:val="clear" w:color="auto" w:fill="auto"/>
            <w:noWrap/>
            <w:vAlign w:val="center"/>
            <w:hideMark/>
          </w:tcPr>
          <w:p w14:paraId="14D795B3" w14:textId="77777777" w:rsidR="00B06151" w:rsidRPr="00284463" w:rsidRDefault="00B06151" w:rsidP="00B06151">
            <w:pPr>
              <w:jc w:val="center"/>
              <w:rPr>
                <w:lang w:val="cs-CZ"/>
              </w:rPr>
            </w:pPr>
            <w:r w:rsidRPr="00284463">
              <w:rPr>
                <w:lang w:val="cs-CZ"/>
              </w:rPr>
              <w:t>0,96 %</w:t>
            </w:r>
          </w:p>
        </w:tc>
        <w:tc>
          <w:tcPr>
            <w:tcW w:w="691" w:type="pct"/>
            <w:tcBorders>
              <w:top w:val="nil"/>
              <w:left w:val="nil"/>
              <w:bottom w:val="nil"/>
              <w:right w:val="single" w:sz="4" w:space="0" w:color="auto"/>
            </w:tcBorders>
            <w:shd w:val="clear" w:color="auto" w:fill="auto"/>
            <w:noWrap/>
            <w:vAlign w:val="center"/>
            <w:hideMark/>
          </w:tcPr>
          <w:p w14:paraId="2D96AC26" w14:textId="77777777" w:rsidR="00B06151" w:rsidRPr="00284463" w:rsidRDefault="00B06151" w:rsidP="00B06151">
            <w:pPr>
              <w:jc w:val="center"/>
              <w:rPr>
                <w:lang w:val="cs-CZ"/>
              </w:rPr>
            </w:pPr>
            <w:r w:rsidRPr="00284463">
              <w:rPr>
                <w:lang w:val="cs-CZ"/>
              </w:rPr>
              <w:t>6237</w:t>
            </w:r>
          </w:p>
        </w:tc>
      </w:tr>
      <w:tr w:rsidR="00B06151" w:rsidRPr="00284463" w14:paraId="1FA93C24" w14:textId="77777777" w:rsidTr="007C531D">
        <w:trPr>
          <w:trHeight w:val="300"/>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4F362" w14:textId="77777777" w:rsidR="00B06151" w:rsidRPr="00284463" w:rsidRDefault="00B06151" w:rsidP="00B06151">
            <w:pPr>
              <w:rPr>
                <w:lang w:val="cs-CZ"/>
              </w:rPr>
            </w:pPr>
            <w:r w:rsidRPr="00284463">
              <w:rPr>
                <w:lang w:val="cs-CZ"/>
              </w:rPr>
              <w:t>celkem</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9B5B1" w14:textId="77777777" w:rsidR="00B06151" w:rsidRPr="00284463" w:rsidRDefault="00B06151" w:rsidP="00B06151">
            <w:pPr>
              <w:jc w:val="center"/>
              <w:rPr>
                <w:lang w:val="cs-CZ"/>
              </w:rPr>
            </w:pPr>
            <w:r w:rsidRPr="00284463">
              <w:rPr>
                <w:lang w:val="cs-CZ"/>
              </w:rPr>
              <w:t>828</w:t>
            </w:r>
          </w:p>
        </w:tc>
        <w:tc>
          <w:tcPr>
            <w:tcW w:w="948" w:type="pct"/>
            <w:tcBorders>
              <w:top w:val="single" w:sz="4" w:space="0" w:color="auto"/>
              <w:left w:val="nil"/>
              <w:bottom w:val="single" w:sz="4" w:space="0" w:color="auto"/>
              <w:right w:val="single" w:sz="4" w:space="0" w:color="auto"/>
            </w:tcBorders>
            <w:shd w:val="clear" w:color="auto" w:fill="auto"/>
            <w:noWrap/>
            <w:vAlign w:val="center"/>
            <w:hideMark/>
          </w:tcPr>
          <w:p w14:paraId="594C1EE4" w14:textId="77777777" w:rsidR="00B06151" w:rsidRPr="00284463" w:rsidRDefault="00B06151" w:rsidP="00B06151">
            <w:pPr>
              <w:jc w:val="center"/>
              <w:rPr>
                <w:lang w:val="cs-CZ"/>
              </w:rPr>
            </w:pPr>
            <w:r w:rsidRPr="00284463">
              <w:rPr>
                <w:lang w:val="cs-CZ"/>
              </w:rPr>
              <w:t>8,41 %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9F7A1" w14:textId="77777777" w:rsidR="00B06151" w:rsidRPr="00284463" w:rsidRDefault="00B06151" w:rsidP="00B06151">
            <w:pPr>
              <w:jc w:val="center"/>
              <w:rPr>
                <w:lang w:val="cs-CZ"/>
              </w:rPr>
            </w:pPr>
            <w:r w:rsidRPr="00284463">
              <w:rPr>
                <w:lang w:val="cs-CZ"/>
              </w:rPr>
              <w:t>9018</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14:paraId="28ADBD6C" w14:textId="77777777" w:rsidR="00B06151" w:rsidRPr="00284463" w:rsidRDefault="00B06151" w:rsidP="00B06151">
            <w:pPr>
              <w:jc w:val="center"/>
              <w:rPr>
                <w:lang w:val="cs-CZ"/>
              </w:rPr>
            </w:pPr>
            <w:r w:rsidRPr="00284463">
              <w:rPr>
                <w:lang w:val="cs-CZ"/>
              </w:rPr>
              <w:t>149</w:t>
            </w:r>
          </w:p>
        </w:tc>
        <w:tc>
          <w:tcPr>
            <w:tcW w:w="862" w:type="pct"/>
            <w:tcBorders>
              <w:top w:val="single" w:sz="4" w:space="0" w:color="auto"/>
              <w:left w:val="nil"/>
              <w:bottom w:val="single" w:sz="4" w:space="0" w:color="auto"/>
              <w:right w:val="single" w:sz="4" w:space="0" w:color="auto"/>
            </w:tcBorders>
            <w:shd w:val="clear" w:color="auto" w:fill="auto"/>
            <w:noWrap/>
            <w:vAlign w:val="center"/>
            <w:hideMark/>
          </w:tcPr>
          <w:p w14:paraId="2C489B39" w14:textId="77777777" w:rsidR="00B06151" w:rsidRPr="00284463" w:rsidRDefault="00B06151" w:rsidP="00B06151">
            <w:pPr>
              <w:jc w:val="center"/>
              <w:rPr>
                <w:lang w:val="cs-CZ"/>
              </w:rPr>
            </w:pPr>
            <w:r w:rsidRPr="00284463">
              <w:rPr>
                <w:lang w:val="cs-CZ"/>
              </w:rPr>
              <w:t>1,51 %</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14:paraId="78779C04" w14:textId="77777777" w:rsidR="00B06151" w:rsidRPr="00284463" w:rsidRDefault="00B06151" w:rsidP="00B06151">
            <w:pPr>
              <w:jc w:val="center"/>
              <w:rPr>
                <w:lang w:val="cs-CZ"/>
              </w:rPr>
            </w:pPr>
            <w:r w:rsidRPr="00284463">
              <w:rPr>
                <w:lang w:val="cs-CZ"/>
              </w:rPr>
              <w:t>9846</w:t>
            </w:r>
          </w:p>
        </w:tc>
      </w:tr>
    </w:tbl>
    <w:p w14:paraId="4E905426" w14:textId="74A2E05D" w:rsidR="00EF240C" w:rsidRPr="00284463" w:rsidRDefault="00EF240C" w:rsidP="005B4495">
      <w:pPr>
        <w:pStyle w:val="Nadpis2"/>
        <w:pBdr>
          <w:bottom w:val="single" w:sz="4" w:space="1" w:color="4F81BD"/>
        </w:pBdr>
        <w:rPr>
          <w:rFonts w:ascii="Times New Roman" w:hAnsi="Times New Roman"/>
          <w:i w:val="0"/>
          <w:color w:val="2F5496" w:themeColor="accent1" w:themeShade="BF"/>
          <w:lang w:val="cs-CZ"/>
        </w:rPr>
      </w:pPr>
      <w:bookmarkStart w:id="14" w:name="_Toc39673332"/>
      <w:r w:rsidRPr="00284463">
        <w:rPr>
          <w:rFonts w:ascii="Times New Roman" w:hAnsi="Times New Roman"/>
          <w:i w:val="0"/>
          <w:color w:val="2F5496" w:themeColor="accent1" w:themeShade="BF"/>
          <w:lang w:val="cs-CZ"/>
        </w:rPr>
        <w:lastRenderedPageBreak/>
        <w:t>Úkol č. 6</w:t>
      </w:r>
      <w:bookmarkEnd w:id="14"/>
    </w:p>
    <w:p w14:paraId="11F90BAD" w14:textId="77777777" w:rsidR="00052CA2" w:rsidRPr="00284463" w:rsidRDefault="00BB40FD" w:rsidP="00850AAF">
      <w:pPr>
        <w:snapToGrid w:val="0"/>
        <w:spacing w:after="120" w:line="276" w:lineRule="auto"/>
        <w:jc w:val="both"/>
        <w:rPr>
          <w:b/>
          <w:sz w:val="22"/>
          <w:szCs w:val="22"/>
          <w:lang w:val="cs-CZ"/>
        </w:rPr>
      </w:pPr>
      <w:r w:rsidRPr="00284463">
        <w:rPr>
          <w:b/>
          <w:sz w:val="22"/>
          <w:szCs w:val="22"/>
          <w:lang w:val="cs-CZ"/>
        </w:rPr>
        <w:t xml:space="preserve">Obecný cíl: </w:t>
      </w:r>
      <w:r w:rsidR="00EF240C" w:rsidRPr="00284463">
        <w:rPr>
          <w:b/>
          <w:sz w:val="22"/>
          <w:szCs w:val="22"/>
          <w:lang w:val="cs-CZ"/>
        </w:rPr>
        <w:t>Vytvořit podmínky pro sladění pracovního a soukromého života při vysílání do zahraničí</w:t>
      </w:r>
    </w:p>
    <w:p w14:paraId="1A41A578" w14:textId="77777777" w:rsidR="00EF240C" w:rsidRPr="00284463" w:rsidRDefault="00EF240C" w:rsidP="00850AAF">
      <w:pPr>
        <w:snapToGrid w:val="0"/>
        <w:spacing w:after="120" w:line="276" w:lineRule="auto"/>
        <w:jc w:val="both"/>
        <w:rPr>
          <w:sz w:val="22"/>
          <w:szCs w:val="22"/>
          <w:lang w:val="cs-CZ"/>
        </w:rPr>
      </w:pPr>
      <w:r w:rsidRPr="00284463">
        <w:rPr>
          <w:sz w:val="22"/>
          <w:szCs w:val="22"/>
          <w:lang w:val="cs-CZ"/>
        </w:rPr>
        <w:t>Úkol:</w:t>
      </w:r>
    </w:p>
    <w:p w14:paraId="6375BA38" w14:textId="77777777" w:rsidR="00330F28" w:rsidRPr="00284463" w:rsidRDefault="00EF240C" w:rsidP="00850AAF">
      <w:pPr>
        <w:numPr>
          <w:ilvl w:val="0"/>
          <w:numId w:val="4"/>
        </w:numPr>
        <w:snapToGrid w:val="0"/>
        <w:spacing w:after="120" w:line="276" w:lineRule="auto"/>
        <w:jc w:val="both"/>
        <w:rPr>
          <w:sz w:val="22"/>
          <w:szCs w:val="22"/>
          <w:lang w:val="cs-CZ"/>
        </w:rPr>
      </w:pPr>
      <w:r w:rsidRPr="00284463">
        <w:rPr>
          <w:sz w:val="22"/>
          <w:szCs w:val="22"/>
          <w:lang w:val="cs-CZ"/>
        </w:rPr>
        <w:t>V rámci platných právních předpisů v gesci ministerstev upravit opatření, která usnadní sladění pracovního a soukromého života vyslaných státních zaměstnan</w:t>
      </w:r>
      <w:r w:rsidR="00251C39" w:rsidRPr="00284463">
        <w:rPr>
          <w:sz w:val="22"/>
          <w:szCs w:val="22"/>
          <w:lang w:val="cs-CZ"/>
        </w:rPr>
        <w:t>ců</w:t>
      </w:r>
      <w:r w:rsidRPr="00284463">
        <w:rPr>
          <w:sz w:val="22"/>
          <w:szCs w:val="22"/>
          <w:lang w:val="cs-CZ"/>
        </w:rPr>
        <w:t>/</w:t>
      </w:r>
      <w:r w:rsidR="00251C39" w:rsidRPr="00284463">
        <w:rPr>
          <w:sz w:val="22"/>
          <w:szCs w:val="22"/>
          <w:lang w:val="cs-CZ"/>
        </w:rPr>
        <w:t>kyň</w:t>
      </w:r>
    </w:p>
    <w:p w14:paraId="3675D714" w14:textId="37243983" w:rsidR="00DE2B90" w:rsidRPr="00284463" w:rsidRDefault="00DE2B90" w:rsidP="00850AAF">
      <w:pPr>
        <w:pStyle w:val="Text"/>
        <w:snapToGrid w:val="0"/>
        <w:spacing w:after="120" w:line="276" w:lineRule="auto"/>
        <w:jc w:val="both"/>
        <w:rPr>
          <w:rFonts w:ascii="Times New Roman" w:hAnsi="Times New Roman" w:cs="Times New Roman"/>
          <w:sz w:val="22"/>
          <w:szCs w:val="22"/>
          <w:lang w:val="cs-CZ"/>
        </w:rPr>
      </w:pPr>
    </w:p>
    <w:p w14:paraId="790CA0F2" w14:textId="444317EF" w:rsidR="00DB5E11" w:rsidRPr="00284463" w:rsidRDefault="00DB5E11" w:rsidP="007C531D">
      <w:pPr>
        <w:jc w:val="both"/>
        <w:rPr>
          <w:lang w:val="cs-CZ"/>
        </w:rPr>
      </w:pPr>
      <w:r w:rsidRPr="00284463">
        <w:rPr>
          <w:color w:val="000000"/>
          <w:lang w:val="cs-CZ"/>
        </w:rPr>
        <w:t xml:space="preserve">Vytváření podmínek pro sladění pracovního a osobního života s výkonem státní služby u státních zaměstnanců a státních zaměstnankyň, kteří jsou vysíláni k výkonu zahraniční služby podle § 67 zákona o státní službě, se řídí ustanoveními § 116 a § 117 tohoto zákona a zákonem č. 150/2017 Sb., o zahraniční službě. K předmětné problematice se dále vztahuje nařízení vlády č. 144/2015 Sb., o výkonu státní služby z jiného místa a o pravidlech pro vytvoření předpokladů sladění rodinného a osobního života s výkonem státní služby. </w:t>
      </w:r>
      <w:r w:rsidRPr="00284463">
        <w:rPr>
          <w:lang w:val="cs-CZ"/>
        </w:rPr>
        <w:t xml:space="preserve">Přijetí zákona </w:t>
      </w:r>
      <w:r w:rsidR="007C531D" w:rsidRPr="00284463">
        <w:rPr>
          <w:lang w:val="cs-CZ"/>
        </w:rPr>
        <w:t xml:space="preserve">o zahraniční službě </w:t>
      </w:r>
      <w:r w:rsidRPr="00284463">
        <w:rPr>
          <w:lang w:val="cs-CZ"/>
        </w:rPr>
        <w:t xml:space="preserve">a </w:t>
      </w:r>
      <w:r w:rsidR="007C531D" w:rsidRPr="00284463">
        <w:rPr>
          <w:lang w:val="cs-CZ"/>
        </w:rPr>
        <w:t xml:space="preserve">jeho vstup v platnost 1. 7. 2017 přineslo dlouhodobě očekávaná opatření vedoucí k podpoře realizace genderové rovnosti. Implementace zákona o zahraniční službě vyřešila několik důležitých témat v oblasti rovných příležitostí (jedná se zejména o porody v zahraničí, čerpání mateřské dovolené v zahraničí a cestovního zdravotního pojištění vyslaných zaměstnanců a zaměstnankyň a jejich rodinných příslušníků). </w:t>
      </w:r>
    </w:p>
    <w:p w14:paraId="2EECA6B5" w14:textId="77777777" w:rsidR="00DB5E11" w:rsidRPr="00284463" w:rsidRDefault="00DB5E11" w:rsidP="007C531D">
      <w:pPr>
        <w:jc w:val="both"/>
        <w:rPr>
          <w:lang w:val="cs-CZ"/>
        </w:rPr>
      </w:pPr>
    </w:p>
    <w:p w14:paraId="46EB3897" w14:textId="67AF033F" w:rsidR="007C531D" w:rsidRPr="00284463" w:rsidRDefault="007C531D" w:rsidP="007C531D">
      <w:pPr>
        <w:jc w:val="both"/>
        <w:rPr>
          <w:lang w:val="cs-CZ"/>
        </w:rPr>
      </w:pPr>
      <w:r w:rsidRPr="00284463">
        <w:rPr>
          <w:b/>
          <w:lang w:val="cs-CZ"/>
        </w:rPr>
        <w:t>MZV</w:t>
      </w:r>
      <w:r w:rsidRPr="00284463">
        <w:rPr>
          <w:lang w:val="cs-CZ"/>
        </w:rPr>
        <w:t xml:space="preserve"> ke konci roku 2019 vytvořilo a přijalo rezortní koncepci k rovným příležitostem žen a mužů. Aktuálně základním platným strategickým dokumentem, který tvoří rámec pro uplatňování politiky genderové rovnosti, je Vládní strategie pro rovnost žen a mužů na léta 2014-2020, ze které rezortní koncepce z velké části vychází. Koncepce bude ak</w:t>
      </w:r>
      <w:r w:rsidR="00DB5E11" w:rsidRPr="00284463">
        <w:rPr>
          <w:lang w:val="cs-CZ"/>
        </w:rPr>
        <w:t>tualizována v návaznosti na novou</w:t>
      </w:r>
      <w:r w:rsidRPr="00284463">
        <w:rPr>
          <w:lang w:val="cs-CZ"/>
        </w:rPr>
        <w:t xml:space="preserve"> Strategii rovnosti žen a mužů 2021-2030, která byla schválena vládou ČR 8. 3. 2021.</w:t>
      </w:r>
    </w:p>
    <w:p w14:paraId="23302D19" w14:textId="29A9D03F" w:rsidR="007C531D" w:rsidRPr="00284463" w:rsidRDefault="007C531D" w:rsidP="00A07E82">
      <w:pPr>
        <w:jc w:val="both"/>
        <w:rPr>
          <w:lang w:val="cs-CZ"/>
        </w:rPr>
      </w:pPr>
    </w:p>
    <w:p w14:paraId="03BF1B14" w14:textId="11FDD1A2" w:rsidR="007C531D" w:rsidRPr="00284463" w:rsidRDefault="00DB5E11" w:rsidP="0094534F">
      <w:pPr>
        <w:pStyle w:val="Text"/>
        <w:jc w:val="both"/>
        <w:rPr>
          <w:rFonts w:ascii="Times New Roman" w:hAnsi="Times New Roman" w:cs="Times New Roman"/>
          <w:color w:val="000000"/>
          <w:lang w:val="cs-CZ"/>
        </w:rPr>
      </w:pPr>
      <w:r w:rsidRPr="00284463">
        <w:rPr>
          <w:rFonts w:ascii="Times New Roman" w:hAnsi="Times New Roman" w:cs="Times New Roman"/>
          <w:b/>
          <w:color w:val="000000"/>
          <w:lang w:val="cs-CZ"/>
        </w:rPr>
        <w:t>V resortu MV</w:t>
      </w:r>
      <w:r w:rsidRPr="00284463">
        <w:rPr>
          <w:rFonts w:ascii="Times New Roman" w:hAnsi="Times New Roman" w:cs="Times New Roman"/>
          <w:color w:val="000000"/>
          <w:lang w:val="cs-CZ"/>
        </w:rPr>
        <w:t xml:space="preserve"> upravuje podmínky s</w:t>
      </w:r>
      <w:r w:rsidR="007C531D" w:rsidRPr="00284463">
        <w:rPr>
          <w:rFonts w:ascii="Times New Roman" w:hAnsi="Times New Roman" w:cs="Times New Roman"/>
          <w:color w:val="000000"/>
          <w:lang w:val="cs-CZ"/>
        </w:rPr>
        <w:t xml:space="preserve">lužební předpis náměstka ministra vnitra pro státní službu </w:t>
      </w:r>
      <w:r w:rsidR="007C531D" w:rsidRPr="00284463">
        <w:rPr>
          <w:rFonts w:ascii="Times New Roman" w:hAnsi="Times New Roman" w:cs="Times New Roman"/>
          <w:b/>
          <w:color w:val="000000"/>
          <w:lang w:val="cs-CZ"/>
        </w:rPr>
        <w:t xml:space="preserve">č. 3/2019, </w:t>
      </w:r>
      <w:r w:rsidR="007C531D" w:rsidRPr="00284463">
        <w:rPr>
          <w:rFonts w:ascii="Times New Roman" w:hAnsi="Times New Roman" w:cs="Times New Roman"/>
          <w:color w:val="000000"/>
          <w:lang w:val="cs-CZ"/>
        </w:rPr>
        <w:t>k vytváření podmínek pro sladění rodinného a osobního života s výkonem státní služby. Jak ustanovení zákona o státní službě, tak prováděcího právního předpisu i služebního předpisu náměstka ministra vnitra pro státní službu se aplikují za rovných podmínek na všechny státní zaměstnance a zaměstnankyně bez ohledu na skutečnost, zda se jedná o státní zaměstnance a státní zaměstnankyně působící v České republice nebo státní zaměstnance a státní zaměstnankyně vykonávající státní službu v zahraničí.</w:t>
      </w:r>
    </w:p>
    <w:p w14:paraId="5D46FED4" w14:textId="77777777" w:rsidR="00561858" w:rsidRPr="00284463" w:rsidRDefault="00561858" w:rsidP="0094534F">
      <w:pPr>
        <w:snapToGrid w:val="0"/>
        <w:spacing w:after="120"/>
        <w:rPr>
          <w:sz w:val="22"/>
          <w:szCs w:val="22"/>
          <w:lang w:val="cs-CZ"/>
        </w:rPr>
      </w:pPr>
    </w:p>
    <w:p w14:paraId="2F2436BC" w14:textId="77777777" w:rsidR="00EF240C" w:rsidRPr="00284463" w:rsidRDefault="00EF240C" w:rsidP="005B4495">
      <w:pPr>
        <w:pStyle w:val="Nadpis2"/>
        <w:pBdr>
          <w:bottom w:val="single" w:sz="4" w:space="1" w:color="4F81BD"/>
        </w:pBdr>
        <w:rPr>
          <w:rFonts w:ascii="Times New Roman" w:hAnsi="Times New Roman"/>
          <w:i w:val="0"/>
          <w:color w:val="2F5496" w:themeColor="accent1" w:themeShade="BF"/>
          <w:lang w:val="cs-CZ"/>
        </w:rPr>
      </w:pPr>
      <w:bookmarkStart w:id="15" w:name="_Toc39673333"/>
      <w:r w:rsidRPr="00284463">
        <w:rPr>
          <w:rFonts w:ascii="Times New Roman" w:hAnsi="Times New Roman"/>
          <w:i w:val="0"/>
          <w:color w:val="2F5496" w:themeColor="accent1" w:themeShade="BF"/>
          <w:lang w:val="cs-CZ"/>
        </w:rPr>
        <w:t>Úkol č. 7</w:t>
      </w:r>
      <w:bookmarkEnd w:id="15"/>
    </w:p>
    <w:p w14:paraId="1B548AAA" w14:textId="77777777" w:rsidR="00330F28" w:rsidRPr="00284463" w:rsidRDefault="00BB40FD" w:rsidP="00850AAF">
      <w:pPr>
        <w:snapToGrid w:val="0"/>
        <w:spacing w:after="120" w:line="276" w:lineRule="auto"/>
        <w:rPr>
          <w:b/>
          <w:bCs/>
          <w:lang w:val="cs-CZ"/>
        </w:rPr>
      </w:pPr>
      <w:r w:rsidRPr="00284463">
        <w:rPr>
          <w:b/>
          <w:lang w:val="cs-CZ"/>
        </w:rPr>
        <w:t xml:space="preserve">Obecný cíl: </w:t>
      </w:r>
      <w:r w:rsidR="00EF240C" w:rsidRPr="00284463">
        <w:rPr>
          <w:b/>
          <w:bCs/>
          <w:lang w:val="cs-CZ"/>
        </w:rPr>
        <w:t>Platová rovnost</w:t>
      </w:r>
    </w:p>
    <w:p w14:paraId="1558505C" w14:textId="77777777" w:rsidR="00EF240C" w:rsidRPr="00284463" w:rsidRDefault="00EF240C" w:rsidP="00850AAF">
      <w:pPr>
        <w:snapToGrid w:val="0"/>
        <w:spacing w:after="120" w:line="276" w:lineRule="auto"/>
        <w:rPr>
          <w:bCs/>
          <w:lang w:val="cs-CZ"/>
        </w:rPr>
      </w:pPr>
      <w:r w:rsidRPr="00284463">
        <w:rPr>
          <w:bCs/>
          <w:lang w:val="cs-CZ"/>
        </w:rPr>
        <w:t>Úkoly:</w:t>
      </w:r>
    </w:p>
    <w:p w14:paraId="780FA087" w14:textId="77777777" w:rsidR="00EF240C" w:rsidRPr="00284463" w:rsidRDefault="00EF240C" w:rsidP="00850AAF">
      <w:pPr>
        <w:numPr>
          <w:ilvl w:val="0"/>
          <w:numId w:val="4"/>
        </w:numPr>
        <w:snapToGrid w:val="0"/>
        <w:spacing w:after="120" w:line="276" w:lineRule="auto"/>
        <w:rPr>
          <w:bCs/>
          <w:lang w:val="cs-CZ"/>
        </w:rPr>
      </w:pPr>
      <w:r w:rsidRPr="00284463">
        <w:rPr>
          <w:bCs/>
          <w:lang w:val="cs-CZ"/>
        </w:rPr>
        <w:t>Vést a zveřejňovat vnitrorezortní a mezirezortní statistiky o odměňování mužů a žen</w:t>
      </w:r>
      <w:r w:rsidR="00C1184A" w:rsidRPr="00284463">
        <w:rPr>
          <w:bCs/>
          <w:lang w:val="cs-CZ"/>
        </w:rPr>
        <w:t>;</w:t>
      </w:r>
    </w:p>
    <w:p w14:paraId="0A8E4359" w14:textId="77777777" w:rsidR="00EF240C" w:rsidRPr="00284463" w:rsidRDefault="00EF240C" w:rsidP="00850AAF">
      <w:pPr>
        <w:numPr>
          <w:ilvl w:val="0"/>
          <w:numId w:val="4"/>
        </w:numPr>
        <w:snapToGrid w:val="0"/>
        <w:spacing w:after="120" w:line="276" w:lineRule="auto"/>
        <w:rPr>
          <w:bCs/>
          <w:lang w:val="cs-CZ"/>
        </w:rPr>
      </w:pPr>
      <w:r w:rsidRPr="00284463">
        <w:rPr>
          <w:bCs/>
          <w:lang w:val="cs-CZ"/>
        </w:rPr>
        <w:t>Vyhodnocovat výsledky statistického šetření a přijímat opatření pro platovou rovnost</w:t>
      </w:r>
      <w:r w:rsidR="00D41F9C" w:rsidRPr="00284463">
        <w:rPr>
          <w:bCs/>
          <w:lang w:val="cs-CZ"/>
        </w:rPr>
        <w:t>.</w:t>
      </w:r>
    </w:p>
    <w:p w14:paraId="0EBA5AD1" w14:textId="77777777" w:rsidR="00C1184A" w:rsidRPr="00284463" w:rsidRDefault="00C1184A" w:rsidP="00850AAF">
      <w:pPr>
        <w:snapToGrid w:val="0"/>
        <w:spacing w:after="120" w:line="276" w:lineRule="auto"/>
        <w:jc w:val="both"/>
        <w:rPr>
          <w:highlight w:val="magenta"/>
          <w:lang w:val="cs-CZ"/>
        </w:rPr>
      </w:pPr>
    </w:p>
    <w:p w14:paraId="29D00C78" w14:textId="1E5A4D3B" w:rsidR="005B3BDD" w:rsidRPr="00284463" w:rsidRDefault="00D07C1A" w:rsidP="005B3BDD">
      <w:pPr>
        <w:spacing w:before="120" w:line="276" w:lineRule="auto"/>
        <w:jc w:val="both"/>
        <w:rPr>
          <w:iCs/>
          <w:sz w:val="22"/>
          <w:szCs w:val="22"/>
          <w:lang w:val="cs-CZ"/>
        </w:rPr>
      </w:pPr>
      <w:r w:rsidRPr="00284463">
        <w:rPr>
          <w:iCs/>
          <w:lang w:val="cs-CZ"/>
        </w:rPr>
        <w:t xml:space="preserve">Anonymizované statistiky výše platů dle pohlaví na základě platových tříd v MO, MV i MZV jsou každoročně předávány Úřadu vlády jako součást Vyhodnocení plnění Vládní strategie </w:t>
      </w:r>
      <w:r w:rsidRPr="00284463">
        <w:rPr>
          <w:iCs/>
          <w:lang w:val="cs-CZ"/>
        </w:rPr>
        <w:lastRenderedPageBreak/>
        <w:t>pro rovnost žen</w:t>
      </w:r>
      <w:r w:rsidRPr="00284463">
        <w:rPr>
          <w:iCs/>
          <w:sz w:val="22"/>
          <w:szCs w:val="22"/>
          <w:lang w:val="cs-CZ"/>
        </w:rPr>
        <w:t xml:space="preserve"> a mužů v České republice na léta 2014 – 2020 a </w:t>
      </w:r>
      <w:r w:rsidR="00902F68" w:rsidRPr="00284463">
        <w:rPr>
          <w:iCs/>
          <w:sz w:val="22"/>
          <w:szCs w:val="22"/>
          <w:lang w:val="cs-CZ"/>
        </w:rPr>
        <w:t xml:space="preserve">Akční </w:t>
      </w:r>
      <w:r w:rsidR="00284463" w:rsidRPr="00284463">
        <w:rPr>
          <w:iCs/>
          <w:sz w:val="22"/>
          <w:szCs w:val="22"/>
          <w:lang w:val="cs-CZ"/>
        </w:rPr>
        <w:t>plán</w:t>
      </w:r>
      <w:r w:rsidR="00902F68" w:rsidRPr="00284463">
        <w:rPr>
          <w:iCs/>
          <w:sz w:val="22"/>
          <w:szCs w:val="22"/>
          <w:lang w:val="cs-CZ"/>
        </w:rPr>
        <w:t xml:space="preserve"> pro rovnost žen a mužů na léta 2019 – 2020</w:t>
      </w:r>
      <w:r w:rsidRPr="00284463">
        <w:rPr>
          <w:iCs/>
          <w:sz w:val="22"/>
          <w:szCs w:val="22"/>
          <w:lang w:val="cs-CZ"/>
        </w:rPr>
        <w:t>.</w:t>
      </w:r>
    </w:p>
    <w:p w14:paraId="31778338" w14:textId="77777777" w:rsidR="005B3BDD" w:rsidRPr="00284463" w:rsidRDefault="005B3BDD" w:rsidP="005B3BDD">
      <w:pPr>
        <w:spacing w:before="120" w:line="276" w:lineRule="auto"/>
        <w:jc w:val="both"/>
        <w:rPr>
          <w:iCs/>
          <w:sz w:val="22"/>
          <w:szCs w:val="22"/>
          <w:lang w:val="cs-CZ"/>
        </w:rPr>
      </w:pPr>
    </w:p>
    <w:p w14:paraId="77709B61" w14:textId="6F5AA5BA" w:rsidR="005B3BDD" w:rsidRPr="00284463" w:rsidRDefault="005B3BDD" w:rsidP="005B3BDD">
      <w:pPr>
        <w:pStyle w:val="Odstavecseseznamem"/>
        <w:numPr>
          <w:ilvl w:val="0"/>
          <w:numId w:val="29"/>
        </w:numPr>
        <w:spacing w:before="120" w:line="276" w:lineRule="auto"/>
        <w:jc w:val="both"/>
        <w:rPr>
          <w:b/>
          <w:sz w:val="22"/>
          <w:szCs w:val="22"/>
          <w:u w:val="single"/>
          <w:lang w:val="cs-CZ"/>
        </w:rPr>
      </w:pPr>
      <w:r w:rsidRPr="00284463">
        <w:rPr>
          <w:b/>
          <w:sz w:val="22"/>
          <w:szCs w:val="22"/>
          <w:u w:val="single"/>
          <w:lang w:val="cs-CZ"/>
        </w:rPr>
        <w:t>Gesce MO</w:t>
      </w:r>
    </w:p>
    <w:p w14:paraId="5CB1BDD0" w14:textId="3FC15898" w:rsidR="002869DF" w:rsidRPr="00284463" w:rsidRDefault="002869DF" w:rsidP="002869DF">
      <w:pPr>
        <w:spacing w:before="120"/>
        <w:jc w:val="both"/>
        <w:rPr>
          <w:lang w:val="cs-CZ"/>
        </w:rPr>
      </w:pPr>
      <w:r w:rsidRPr="00284463">
        <w:rPr>
          <w:lang w:val="cs-CZ"/>
        </w:rPr>
        <w:t>V rámci zpracování genderového auditu personálu rezortu MO/genderové analýzy jsou sledovány i počty žen a mužů v pracovním a služebním poměru v platových stupních, počty žen a mužů v pracovním a služebním poměru zařazených do platových tříd (dle náročnosti vykonávané práce a plnění kvalifikačních předpokladů, případně požadavků) a dále je srovnávána výdělková úroveň mužů a žen</w:t>
      </w:r>
      <w:r w:rsidRPr="00284463">
        <w:rPr>
          <w:rStyle w:val="Znakapoznpodarou"/>
          <w:lang w:val="cs-CZ"/>
        </w:rPr>
        <w:footnoteReference w:id="6"/>
      </w:r>
      <w:r w:rsidRPr="00284463">
        <w:rPr>
          <w:lang w:val="cs-CZ"/>
        </w:rPr>
        <w:t xml:space="preserve">.  </w:t>
      </w:r>
    </w:p>
    <w:p w14:paraId="2B0EA476" w14:textId="59F2942E" w:rsidR="002869DF" w:rsidRPr="00284463" w:rsidRDefault="002869DF" w:rsidP="002869DF">
      <w:pPr>
        <w:spacing w:before="120"/>
        <w:jc w:val="both"/>
        <w:rPr>
          <w:lang w:val="cs-CZ"/>
        </w:rPr>
      </w:pPr>
      <w:r w:rsidRPr="00284463">
        <w:rPr>
          <w:lang w:val="cs-CZ"/>
        </w:rPr>
        <w:t>Vojáci a vojákyně jsou odměňování dle nařízení vlády č. 60/2015 Sb., o stanovení seznamu činností pro jednotlivé vojenské hodnosti, v závislosti na jejich složitosti, odpovědnosti a namáhavosti. Tento systém odměňování vojenského personálu je z pohledu rovného odměňování žen a mužů transparentní.</w:t>
      </w:r>
    </w:p>
    <w:p w14:paraId="09C86ABC" w14:textId="77777777" w:rsidR="002869DF" w:rsidRPr="00284463" w:rsidRDefault="002869DF" w:rsidP="002869DF">
      <w:pPr>
        <w:spacing w:before="120"/>
        <w:rPr>
          <w:b/>
          <w:i/>
          <w:lang w:val="cs-CZ"/>
        </w:rPr>
      </w:pPr>
      <w:r w:rsidRPr="00284463">
        <w:rPr>
          <w:b/>
          <w:i/>
          <w:lang w:val="cs-CZ"/>
        </w:rPr>
        <w:t>Průměrná vyplacená složka platu na 1 osobu/měsíc v rezortu MO za období leden-prosinec 2020:</w:t>
      </w:r>
    </w:p>
    <w:tbl>
      <w:tblPr>
        <w:tblW w:w="9157" w:type="dxa"/>
        <w:tblInd w:w="55" w:type="dxa"/>
        <w:tblCellMar>
          <w:left w:w="70" w:type="dxa"/>
          <w:right w:w="70" w:type="dxa"/>
        </w:tblCellMar>
        <w:tblLook w:val="04A0" w:firstRow="1" w:lastRow="0" w:firstColumn="1" w:lastColumn="0" w:noHBand="0" w:noVBand="1"/>
      </w:tblPr>
      <w:tblGrid>
        <w:gridCol w:w="664"/>
        <w:gridCol w:w="5163"/>
        <w:gridCol w:w="992"/>
        <w:gridCol w:w="851"/>
        <w:gridCol w:w="918"/>
        <w:gridCol w:w="569"/>
      </w:tblGrid>
      <w:tr w:rsidR="005B3BDD" w:rsidRPr="00284463" w14:paraId="3CA9B15B" w14:textId="520B5BF4" w:rsidTr="005B3BDD">
        <w:trPr>
          <w:trHeight w:val="825"/>
        </w:trPr>
        <w:tc>
          <w:tcPr>
            <w:tcW w:w="582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8B3673D" w14:textId="77777777" w:rsidR="005B3BDD" w:rsidRPr="00284463" w:rsidRDefault="005B3BDD" w:rsidP="002153F7">
            <w:pPr>
              <w:jc w:val="center"/>
              <w:rPr>
                <w:sz w:val="16"/>
                <w:szCs w:val="16"/>
                <w:lang w:val="cs-CZ"/>
              </w:rPr>
            </w:pPr>
            <w:r w:rsidRPr="00284463">
              <w:rPr>
                <w:sz w:val="16"/>
                <w:szCs w:val="16"/>
                <w:lang w:val="cs-CZ"/>
              </w:rPr>
              <w:t>Počet osob a složky platu</w:t>
            </w:r>
          </w:p>
        </w:tc>
        <w:tc>
          <w:tcPr>
            <w:tcW w:w="2761" w:type="dxa"/>
            <w:gridSpan w:val="3"/>
            <w:tcBorders>
              <w:top w:val="single" w:sz="8" w:space="0" w:color="auto"/>
              <w:left w:val="nil"/>
              <w:bottom w:val="single" w:sz="4" w:space="0" w:color="auto"/>
              <w:right w:val="single" w:sz="8" w:space="0" w:color="000000"/>
            </w:tcBorders>
            <w:shd w:val="clear" w:color="auto" w:fill="auto"/>
            <w:vAlign w:val="center"/>
            <w:hideMark/>
          </w:tcPr>
          <w:p w14:paraId="458C9129" w14:textId="77777777" w:rsidR="005B3BDD" w:rsidRPr="00284463" w:rsidRDefault="005B3BDD" w:rsidP="002153F7">
            <w:pPr>
              <w:jc w:val="center"/>
              <w:rPr>
                <w:sz w:val="16"/>
                <w:szCs w:val="16"/>
                <w:lang w:val="cs-CZ"/>
              </w:rPr>
            </w:pPr>
            <w:r w:rsidRPr="00284463">
              <w:rPr>
                <w:sz w:val="16"/>
                <w:szCs w:val="16"/>
                <w:lang w:val="cs-CZ"/>
              </w:rPr>
              <w:t>Vyplaceno za leden - prosinec 2020 (průměr vyplacené složky platu na 1 os/měsíc)</w:t>
            </w:r>
          </w:p>
        </w:tc>
        <w:tc>
          <w:tcPr>
            <w:tcW w:w="569" w:type="dxa"/>
            <w:tcBorders>
              <w:top w:val="single" w:sz="8" w:space="0" w:color="auto"/>
              <w:left w:val="nil"/>
              <w:bottom w:val="single" w:sz="4" w:space="0" w:color="auto"/>
              <w:right w:val="single" w:sz="8" w:space="0" w:color="000000"/>
            </w:tcBorders>
          </w:tcPr>
          <w:p w14:paraId="18D36FAB" w14:textId="77777777" w:rsidR="005B3BDD" w:rsidRPr="00284463" w:rsidRDefault="005B3BDD" w:rsidP="002153F7">
            <w:pPr>
              <w:jc w:val="center"/>
              <w:rPr>
                <w:sz w:val="16"/>
                <w:szCs w:val="16"/>
                <w:lang w:val="cs-CZ"/>
              </w:rPr>
            </w:pPr>
          </w:p>
        </w:tc>
      </w:tr>
      <w:tr w:rsidR="005B3BDD" w:rsidRPr="00284463" w14:paraId="4C4B9C09" w14:textId="026FA64D" w:rsidTr="005B3BDD">
        <w:trPr>
          <w:trHeight w:val="276"/>
        </w:trPr>
        <w:tc>
          <w:tcPr>
            <w:tcW w:w="5827" w:type="dxa"/>
            <w:gridSpan w:val="2"/>
            <w:vMerge/>
            <w:tcBorders>
              <w:top w:val="single" w:sz="8" w:space="0" w:color="auto"/>
              <w:left w:val="single" w:sz="8" w:space="0" w:color="auto"/>
              <w:bottom w:val="single" w:sz="8" w:space="0" w:color="000000"/>
              <w:right w:val="single" w:sz="8" w:space="0" w:color="000000"/>
            </w:tcBorders>
            <w:vAlign w:val="center"/>
            <w:hideMark/>
          </w:tcPr>
          <w:p w14:paraId="5505B345" w14:textId="77777777" w:rsidR="005B3BDD" w:rsidRPr="00284463" w:rsidRDefault="005B3BDD" w:rsidP="002153F7">
            <w:pPr>
              <w:rPr>
                <w:sz w:val="16"/>
                <w:szCs w:val="16"/>
                <w:lang w:val="cs-CZ"/>
              </w:rPr>
            </w:pPr>
          </w:p>
        </w:tc>
        <w:tc>
          <w:tcPr>
            <w:tcW w:w="992" w:type="dxa"/>
            <w:tcBorders>
              <w:top w:val="nil"/>
              <w:left w:val="nil"/>
              <w:bottom w:val="single" w:sz="8" w:space="0" w:color="auto"/>
              <w:right w:val="single" w:sz="4" w:space="0" w:color="auto"/>
            </w:tcBorders>
            <w:shd w:val="clear" w:color="auto" w:fill="auto"/>
            <w:noWrap/>
            <w:vAlign w:val="bottom"/>
            <w:hideMark/>
          </w:tcPr>
          <w:p w14:paraId="56BB3548" w14:textId="77777777" w:rsidR="005B3BDD" w:rsidRPr="00284463" w:rsidRDefault="005B3BDD" w:rsidP="002153F7">
            <w:pPr>
              <w:jc w:val="center"/>
              <w:rPr>
                <w:sz w:val="16"/>
                <w:szCs w:val="16"/>
                <w:lang w:val="cs-CZ"/>
              </w:rPr>
            </w:pPr>
            <w:r w:rsidRPr="00284463">
              <w:rPr>
                <w:sz w:val="16"/>
                <w:szCs w:val="16"/>
                <w:lang w:val="cs-CZ"/>
              </w:rPr>
              <w:t>muži</w:t>
            </w:r>
          </w:p>
        </w:tc>
        <w:tc>
          <w:tcPr>
            <w:tcW w:w="851" w:type="dxa"/>
            <w:tcBorders>
              <w:top w:val="nil"/>
              <w:left w:val="nil"/>
              <w:bottom w:val="single" w:sz="8" w:space="0" w:color="auto"/>
              <w:right w:val="single" w:sz="4" w:space="0" w:color="auto"/>
            </w:tcBorders>
            <w:shd w:val="clear" w:color="auto" w:fill="auto"/>
            <w:noWrap/>
            <w:vAlign w:val="bottom"/>
            <w:hideMark/>
          </w:tcPr>
          <w:p w14:paraId="66F7F57A" w14:textId="77777777" w:rsidR="005B3BDD" w:rsidRPr="00284463" w:rsidRDefault="005B3BDD" w:rsidP="002153F7">
            <w:pPr>
              <w:jc w:val="center"/>
              <w:rPr>
                <w:sz w:val="16"/>
                <w:szCs w:val="16"/>
                <w:lang w:val="cs-CZ"/>
              </w:rPr>
            </w:pPr>
            <w:r w:rsidRPr="00284463">
              <w:rPr>
                <w:sz w:val="16"/>
                <w:szCs w:val="16"/>
                <w:lang w:val="cs-CZ"/>
              </w:rPr>
              <w:t>ženy</w:t>
            </w:r>
          </w:p>
        </w:tc>
        <w:tc>
          <w:tcPr>
            <w:tcW w:w="918" w:type="dxa"/>
            <w:tcBorders>
              <w:top w:val="nil"/>
              <w:left w:val="nil"/>
              <w:bottom w:val="single" w:sz="8" w:space="0" w:color="auto"/>
              <w:right w:val="single" w:sz="8" w:space="0" w:color="auto"/>
            </w:tcBorders>
            <w:shd w:val="clear" w:color="auto" w:fill="auto"/>
            <w:noWrap/>
            <w:vAlign w:val="bottom"/>
            <w:hideMark/>
          </w:tcPr>
          <w:p w14:paraId="51913FDB" w14:textId="77777777" w:rsidR="005B3BDD" w:rsidRPr="00284463" w:rsidRDefault="005B3BDD" w:rsidP="002153F7">
            <w:pPr>
              <w:jc w:val="center"/>
              <w:rPr>
                <w:sz w:val="16"/>
                <w:szCs w:val="16"/>
                <w:lang w:val="cs-CZ"/>
              </w:rPr>
            </w:pPr>
            <w:r w:rsidRPr="00284463">
              <w:rPr>
                <w:sz w:val="16"/>
                <w:szCs w:val="16"/>
                <w:lang w:val="cs-CZ"/>
              </w:rPr>
              <w:t>rozdíl</w:t>
            </w:r>
          </w:p>
        </w:tc>
        <w:tc>
          <w:tcPr>
            <w:tcW w:w="569" w:type="dxa"/>
            <w:tcBorders>
              <w:top w:val="nil"/>
              <w:left w:val="nil"/>
              <w:bottom w:val="single" w:sz="8" w:space="0" w:color="auto"/>
              <w:right w:val="single" w:sz="8" w:space="0" w:color="auto"/>
            </w:tcBorders>
          </w:tcPr>
          <w:p w14:paraId="104B8DC6" w14:textId="77777777" w:rsidR="005B3BDD" w:rsidRPr="00284463" w:rsidRDefault="005B3BDD" w:rsidP="002153F7">
            <w:pPr>
              <w:jc w:val="center"/>
              <w:rPr>
                <w:sz w:val="16"/>
                <w:szCs w:val="16"/>
                <w:lang w:val="cs-CZ"/>
              </w:rPr>
            </w:pPr>
          </w:p>
        </w:tc>
      </w:tr>
      <w:tr w:rsidR="005B3BDD" w:rsidRPr="00284463" w14:paraId="23E94269" w14:textId="3D8AA871" w:rsidTr="005B3BDD">
        <w:trPr>
          <w:trHeight w:val="264"/>
        </w:trPr>
        <w:tc>
          <w:tcPr>
            <w:tcW w:w="582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BADD931" w14:textId="77777777" w:rsidR="005B3BDD" w:rsidRPr="00284463" w:rsidRDefault="005B3BDD" w:rsidP="002153F7">
            <w:pPr>
              <w:rPr>
                <w:b/>
                <w:sz w:val="16"/>
                <w:szCs w:val="16"/>
                <w:lang w:val="cs-CZ"/>
              </w:rPr>
            </w:pPr>
            <w:r w:rsidRPr="00284463">
              <w:rPr>
                <w:b/>
                <w:sz w:val="16"/>
                <w:szCs w:val="16"/>
                <w:lang w:val="cs-CZ"/>
              </w:rPr>
              <w:t>vyplacený/přiznaný průměrný plat</w:t>
            </w:r>
          </w:p>
        </w:tc>
        <w:tc>
          <w:tcPr>
            <w:tcW w:w="992" w:type="dxa"/>
            <w:tcBorders>
              <w:top w:val="nil"/>
              <w:left w:val="nil"/>
              <w:bottom w:val="single" w:sz="4" w:space="0" w:color="auto"/>
              <w:right w:val="single" w:sz="4" w:space="0" w:color="auto"/>
            </w:tcBorders>
            <w:shd w:val="clear" w:color="auto" w:fill="auto"/>
            <w:noWrap/>
            <w:vAlign w:val="bottom"/>
            <w:hideMark/>
          </w:tcPr>
          <w:p w14:paraId="2771F110" w14:textId="77777777" w:rsidR="005B3BDD" w:rsidRPr="00284463" w:rsidRDefault="005B3BDD" w:rsidP="002153F7">
            <w:pPr>
              <w:jc w:val="right"/>
              <w:rPr>
                <w:sz w:val="16"/>
                <w:szCs w:val="16"/>
                <w:lang w:val="cs-CZ"/>
              </w:rPr>
            </w:pPr>
            <w:r w:rsidRPr="00284463">
              <w:rPr>
                <w:sz w:val="16"/>
                <w:szCs w:val="16"/>
                <w:lang w:val="cs-CZ"/>
              </w:rPr>
              <w:t>40 556</w:t>
            </w:r>
          </w:p>
        </w:tc>
        <w:tc>
          <w:tcPr>
            <w:tcW w:w="851" w:type="dxa"/>
            <w:tcBorders>
              <w:top w:val="nil"/>
              <w:left w:val="nil"/>
              <w:bottom w:val="single" w:sz="4" w:space="0" w:color="auto"/>
              <w:right w:val="single" w:sz="4" w:space="0" w:color="auto"/>
            </w:tcBorders>
            <w:shd w:val="clear" w:color="auto" w:fill="auto"/>
            <w:noWrap/>
            <w:vAlign w:val="bottom"/>
            <w:hideMark/>
          </w:tcPr>
          <w:p w14:paraId="5939B87F" w14:textId="77777777" w:rsidR="005B3BDD" w:rsidRPr="00284463" w:rsidRDefault="005B3BDD" w:rsidP="002153F7">
            <w:pPr>
              <w:jc w:val="right"/>
              <w:rPr>
                <w:sz w:val="16"/>
                <w:szCs w:val="16"/>
                <w:lang w:val="cs-CZ"/>
              </w:rPr>
            </w:pPr>
            <w:r w:rsidRPr="00284463">
              <w:rPr>
                <w:sz w:val="16"/>
                <w:szCs w:val="16"/>
                <w:lang w:val="cs-CZ"/>
              </w:rPr>
              <w:t>39 237</w:t>
            </w:r>
          </w:p>
        </w:tc>
        <w:tc>
          <w:tcPr>
            <w:tcW w:w="918" w:type="dxa"/>
            <w:tcBorders>
              <w:top w:val="nil"/>
              <w:left w:val="nil"/>
              <w:bottom w:val="single" w:sz="4" w:space="0" w:color="auto"/>
              <w:right w:val="single" w:sz="8" w:space="0" w:color="auto"/>
            </w:tcBorders>
            <w:shd w:val="clear" w:color="auto" w:fill="auto"/>
            <w:noWrap/>
            <w:vAlign w:val="bottom"/>
            <w:hideMark/>
          </w:tcPr>
          <w:p w14:paraId="1667B722" w14:textId="77777777" w:rsidR="005B3BDD" w:rsidRPr="00284463" w:rsidRDefault="005B3BDD" w:rsidP="002153F7">
            <w:pPr>
              <w:jc w:val="right"/>
              <w:rPr>
                <w:sz w:val="16"/>
                <w:szCs w:val="16"/>
                <w:lang w:val="cs-CZ"/>
              </w:rPr>
            </w:pPr>
            <w:r w:rsidRPr="00284463">
              <w:rPr>
                <w:sz w:val="16"/>
                <w:szCs w:val="16"/>
                <w:lang w:val="cs-CZ"/>
              </w:rPr>
              <w:t>1 319</w:t>
            </w:r>
          </w:p>
        </w:tc>
        <w:tc>
          <w:tcPr>
            <w:tcW w:w="569" w:type="dxa"/>
            <w:tcBorders>
              <w:top w:val="nil"/>
              <w:left w:val="nil"/>
              <w:bottom w:val="single" w:sz="4" w:space="0" w:color="auto"/>
              <w:right w:val="single" w:sz="8" w:space="0" w:color="auto"/>
            </w:tcBorders>
          </w:tcPr>
          <w:p w14:paraId="0B6CDAC9" w14:textId="77777777" w:rsidR="005B3BDD" w:rsidRPr="00284463" w:rsidRDefault="005B3BDD" w:rsidP="002153F7">
            <w:pPr>
              <w:jc w:val="right"/>
              <w:rPr>
                <w:sz w:val="16"/>
                <w:szCs w:val="16"/>
                <w:lang w:val="cs-CZ"/>
              </w:rPr>
            </w:pPr>
          </w:p>
        </w:tc>
      </w:tr>
      <w:tr w:rsidR="005B3BDD" w:rsidRPr="00284463" w14:paraId="1582E9D7" w14:textId="6A11FB6D" w:rsidTr="005B3BDD">
        <w:trPr>
          <w:trHeight w:val="264"/>
        </w:trPr>
        <w:tc>
          <w:tcPr>
            <w:tcW w:w="664" w:type="dxa"/>
            <w:tcBorders>
              <w:top w:val="nil"/>
              <w:left w:val="single" w:sz="8" w:space="0" w:color="auto"/>
              <w:bottom w:val="single" w:sz="4" w:space="0" w:color="auto"/>
              <w:right w:val="single" w:sz="4" w:space="0" w:color="auto"/>
            </w:tcBorders>
            <w:shd w:val="clear" w:color="auto" w:fill="auto"/>
            <w:noWrap/>
            <w:vAlign w:val="bottom"/>
            <w:hideMark/>
          </w:tcPr>
          <w:p w14:paraId="46A56C51" w14:textId="77777777" w:rsidR="005B3BDD" w:rsidRPr="00284463" w:rsidRDefault="005B3BDD" w:rsidP="002153F7">
            <w:pPr>
              <w:rPr>
                <w:sz w:val="16"/>
                <w:szCs w:val="16"/>
                <w:lang w:val="cs-CZ"/>
              </w:rPr>
            </w:pPr>
            <w:r w:rsidRPr="00284463">
              <w:rPr>
                <w:sz w:val="16"/>
                <w:szCs w:val="16"/>
                <w:lang w:val="cs-CZ"/>
              </w:rPr>
              <w:t>z toho:</w:t>
            </w:r>
          </w:p>
        </w:tc>
        <w:tc>
          <w:tcPr>
            <w:tcW w:w="5163" w:type="dxa"/>
            <w:tcBorders>
              <w:top w:val="nil"/>
              <w:left w:val="nil"/>
              <w:bottom w:val="single" w:sz="4" w:space="0" w:color="auto"/>
              <w:right w:val="single" w:sz="8" w:space="0" w:color="auto"/>
            </w:tcBorders>
            <w:shd w:val="clear" w:color="auto" w:fill="auto"/>
            <w:noWrap/>
            <w:vAlign w:val="bottom"/>
            <w:hideMark/>
          </w:tcPr>
          <w:p w14:paraId="533945C7" w14:textId="77777777" w:rsidR="005B3BDD" w:rsidRPr="00284463" w:rsidRDefault="005B3BDD" w:rsidP="002153F7">
            <w:pPr>
              <w:rPr>
                <w:sz w:val="16"/>
                <w:szCs w:val="16"/>
                <w:lang w:val="cs-CZ"/>
              </w:rPr>
            </w:pPr>
            <w:r w:rsidRPr="00284463">
              <w:rPr>
                <w:sz w:val="16"/>
                <w:szCs w:val="16"/>
                <w:lang w:val="cs-CZ"/>
              </w:rPr>
              <w:t> </w:t>
            </w:r>
          </w:p>
        </w:tc>
        <w:tc>
          <w:tcPr>
            <w:tcW w:w="992" w:type="dxa"/>
            <w:tcBorders>
              <w:top w:val="nil"/>
              <w:left w:val="nil"/>
              <w:bottom w:val="single" w:sz="4" w:space="0" w:color="auto"/>
              <w:right w:val="single" w:sz="4" w:space="0" w:color="auto"/>
            </w:tcBorders>
            <w:shd w:val="clear" w:color="auto" w:fill="auto"/>
            <w:noWrap/>
            <w:vAlign w:val="bottom"/>
            <w:hideMark/>
          </w:tcPr>
          <w:p w14:paraId="5736C1C7" w14:textId="77777777" w:rsidR="005B3BDD" w:rsidRPr="00284463" w:rsidRDefault="005B3BDD" w:rsidP="002153F7">
            <w:pPr>
              <w:rPr>
                <w:color w:val="FF0000"/>
                <w:sz w:val="16"/>
                <w:szCs w:val="16"/>
                <w:lang w:val="cs-CZ"/>
              </w:rPr>
            </w:pPr>
            <w:r w:rsidRPr="00284463">
              <w:rPr>
                <w:color w:val="FF0000"/>
                <w:sz w:val="16"/>
                <w:szCs w:val="16"/>
                <w:lang w:val="cs-CZ"/>
              </w:rPr>
              <w:t> </w:t>
            </w:r>
          </w:p>
        </w:tc>
        <w:tc>
          <w:tcPr>
            <w:tcW w:w="851" w:type="dxa"/>
            <w:tcBorders>
              <w:top w:val="nil"/>
              <w:left w:val="nil"/>
              <w:bottom w:val="single" w:sz="4" w:space="0" w:color="auto"/>
              <w:right w:val="single" w:sz="4" w:space="0" w:color="auto"/>
            </w:tcBorders>
            <w:shd w:val="clear" w:color="auto" w:fill="auto"/>
            <w:noWrap/>
            <w:vAlign w:val="bottom"/>
            <w:hideMark/>
          </w:tcPr>
          <w:p w14:paraId="6AB4CB01" w14:textId="77777777" w:rsidR="005B3BDD" w:rsidRPr="00284463" w:rsidRDefault="005B3BDD" w:rsidP="002153F7">
            <w:pPr>
              <w:rPr>
                <w:color w:val="FF0000"/>
                <w:sz w:val="16"/>
                <w:szCs w:val="16"/>
                <w:lang w:val="cs-CZ"/>
              </w:rPr>
            </w:pPr>
            <w:r w:rsidRPr="00284463">
              <w:rPr>
                <w:color w:val="FF0000"/>
                <w:sz w:val="16"/>
                <w:szCs w:val="16"/>
                <w:lang w:val="cs-CZ"/>
              </w:rPr>
              <w:t> </w:t>
            </w:r>
          </w:p>
        </w:tc>
        <w:tc>
          <w:tcPr>
            <w:tcW w:w="918" w:type="dxa"/>
            <w:tcBorders>
              <w:top w:val="nil"/>
              <w:left w:val="nil"/>
              <w:bottom w:val="single" w:sz="4" w:space="0" w:color="auto"/>
              <w:right w:val="single" w:sz="8" w:space="0" w:color="auto"/>
            </w:tcBorders>
            <w:shd w:val="clear" w:color="auto" w:fill="auto"/>
            <w:noWrap/>
            <w:vAlign w:val="bottom"/>
            <w:hideMark/>
          </w:tcPr>
          <w:p w14:paraId="34DCCBCB" w14:textId="77777777" w:rsidR="005B3BDD" w:rsidRPr="00284463" w:rsidRDefault="005B3BDD" w:rsidP="002153F7">
            <w:pPr>
              <w:rPr>
                <w:sz w:val="16"/>
                <w:szCs w:val="16"/>
                <w:lang w:val="cs-CZ"/>
              </w:rPr>
            </w:pPr>
            <w:r w:rsidRPr="00284463">
              <w:rPr>
                <w:sz w:val="16"/>
                <w:szCs w:val="16"/>
                <w:lang w:val="cs-CZ"/>
              </w:rPr>
              <w:t> </w:t>
            </w:r>
          </w:p>
        </w:tc>
        <w:tc>
          <w:tcPr>
            <w:tcW w:w="569" w:type="dxa"/>
            <w:tcBorders>
              <w:top w:val="nil"/>
              <w:left w:val="nil"/>
              <w:bottom w:val="single" w:sz="4" w:space="0" w:color="auto"/>
              <w:right w:val="single" w:sz="8" w:space="0" w:color="auto"/>
            </w:tcBorders>
          </w:tcPr>
          <w:p w14:paraId="4EE77D75" w14:textId="77777777" w:rsidR="005B3BDD" w:rsidRPr="00284463" w:rsidRDefault="005B3BDD" w:rsidP="002153F7">
            <w:pPr>
              <w:rPr>
                <w:sz w:val="16"/>
                <w:szCs w:val="16"/>
                <w:lang w:val="cs-CZ"/>
              </w:rPr>
            </w:pPr>
          </w:p>
        </w:tc>
      </w:tr>
      <w:tr w:rsidR="005B3BDD" w:rsidRPr="00284463" w14:paraId="7F5663C0" w14:textId="21C4CAD2" w:rsidTr="005B3BDD">
        <w:trPr>
          <w:trHeight w:val="264"/>
        </w:trPr>
        <w:tc>
          <w:tcPr>
            <w:tcW w:w="664" w:type="dxa"/>
            <w:tcBorders>
              <w:top w:val="nil"/>
              <w:left w:val="single" w:sz="8" w:space="0" w:color="auto"/>
              <w:bottom w:val="single" w:sz="4" w:space="0" w:color="auto"/>
              <w:right w:val="single" w:sz="4" w:space="0" w:color="auto"/>
            </w:tcBorders>
            <w:shd w:val="clear" w:color="auto" w:fill="auto"/>
            <w:noWrap/>
            <w:vAlign w:val="bottom"/>
            <w:hideMark/>
          </w:tcPr>
          <w:p w14:paraId="5A518E55" w14:textId="77777777" w:rsidR="005B3BDD" w:rsidRPr="00284463" w:rsidRDefault="005B3BDD" w:rsidP="002153F7">
            <w:pPr>
              <w:rPr>
                <w:sz w:val="16"/>
                <w:szCs w:val="16"/>
                <w:lang w:val="cs-CZ"/>
              </w:rPr>
            </w:pPr>
            <w:r w:rsidRPr="00284463">
              <w:rPr>
                <w:sz w:val="16"/>
                <w:szCs w:val="16"/>
                <w:lang w:val="cs-CZ"/>
              </w:rPr>
              <w:t> </w:t>
            </w:r>
          </w:p>
        </w:tc>
        <w:tc>
          <w:tcPr>
            <w:tcW w:w="5163" w:type="dxa"/>
            <w:tcBorders>
              <w:top w:val="nil"/>
              <w:left w:val="nil"/>
              <w:bottom w:val="single" w:sz="4" w:space="0" w:color="auto"/>
              <w:right w:val="single" w:sz="8" w:space="0" w:color="auto"/>
            </w:tcBorders>
            <w:shd w:val="clear" w:color="auto" w:fill="auto"/>
            <w:noWrap/>
            <w:vAlign w:val="bottom"/>
            <w:hideMark/>
          </w:tcPr>
          <w:p w14:paraId="05CE39AF" w14:textId="77777777" w:rsidR="005B3BDD" w:rsidRPr="00284463" w:rsidRDefault="005B3BDD" w:rsidP="002153F7">
            <w:pPr>
              <w:rPr>
                <w:sz w:val="16"/>
                <w:szCs w:val="16"/>
                <w:lang w:val="cs-CZ"/>
              </w:rPr>
            </w:pPr>
            <w:r w:rsidRPr="00284463">
              <w:rPr>
                <w:sz w:val="16"/>
                <w:szCs w:val="16"/>
                <w:lang w:val="cs-CZ"/>
              </w:rPr>
              <w:t>platový/služební tarif</w:t>
            </w:r>
          </w:p>
        </w:tc>
        <w:tc>
          <w:tcPr>
            <w:tcW w:w="992" w:type="dxa"/>
            <w:tcBorders>
              <w:top w:val="nil"/>
              <w:left w:val="nil"/>
              <w:bottom w:val="single" w:sz="4" w:space="0" w:color="auto"/>
              <w:right w:val="single" w:sz="4" w:space="0" w:color="auto"/>
            </w:tcBorders>
            <w:shd w:val="clear" w:color="auto" w:fill="auto"/>
            <w:noWrap/>
            <w:vAlign w:val="bottom"/>
            <w:hideMark/>
          </w:tcPr>
          <w:p w14:paraId="5387AA24" w14:textId="77777777" w:rsidR="005B3BDD" w:rsidRPr="00284463" w:rsidRDefault="005B3BDD" w:rsidP="002153F7">
            <w:pPr>
              <w:jc w:val="right"/>
              <w:rPr>
                <w:sz w:val="16"/>
                <w:szCs w:val="16"/>
                <w:lang w:val="cs-CZ"/>
              </w:rPr>
            </w:pPr>
            <w:r w:rsidRPr="00284463">
              <w:rPr>
                <w:sz w:val="16"/>
                <w:szCs w:val="16"/>
                <w:lang w:val="cs-CZ"/>
              </w:rPr>
              <w:t>35 129</w:t>
            </w:r>
          </w:p>
        </w:tc>
        <w:tc>
          <w:tcPr>
            <w:tcW w:w="851" w:type="dxa"/>
            <w:tcBorders>
              <w:top w:val="nil"/>
              <w:left w:val="nil"/>
              <w:bottom w:val="single" w:sz="4" w:space="0" w:color="auto"/>
              <w:right w:val="single" w:sz="4" w:space="0" w:color="auto"/>
            </w:tcBorders>
            <w:shd w:val="clear" w:color="auto" w:fill="auto"/>
            <w:noWrap/>
            <w:vAlign w:val="bottom"/>
            <w:hideMark/>
          </w:tcPr>
          <w:p w14:paraId="1697106E" w14:textId="77777777" w:rsidR="005B3BDD" w:rsidRPr="00284463" w:rsidRDefault="005B3BDD" w:rsidP="002153F7">
            <w:pPr>
              <w:jc w:val="right"/>
              <w:rPr>
                <w:sz w:val="16"/>
                <w:szCs w:val="16"/>
                <w:lang w:val="cs-CZ"/>
              </w:rPr>
            </w:pPr>
            <w:r w:rsidRPr="00284463">
              <w:rPr>
                <w:sz w:val="16"/>
                <w:szCs w:val="16"/>
                <w:lang w:val="cs-CZ"/>
              </w:rPr>
              <w:t>31 061</w:t>
            </w:r>
          </w:p>
        </w:tc>
        <w:tc>
          <w:tcPr>
            <w:tcW w:w="918" w:type="dxa"/>
            <w:tcBorders>
              <w:top w:val="nil"/>
              <w:left w:val="nil"/>
              <w:bottom w:val="single" w:sz="4" w:space="0" w:color="auto"/>
              <w:right w:val="single" w:sz="8" w:space="0" w:color="auto"/>
            </w:tcBorders>
            <w:shd w:val="clear" w:color="auto" w:fill="auto"/>
            <w:noWrap/>
            <w:vAlign w:val="bottom"/>
            <w:hideMark/>
          </w:tcPr>
          <w:p w14:paraId="3C5E0E46" w14:textId="77777777" w:rsidR="005B3BDD" w:rsidRPr="00284463" w:rsidRDefault="005B3BDD" w:rsidP="002153F7">
            <w:pPr>
              <w:jc w:val="right"/>
              <w:rPr>
                <w:sz w:val="16"/>
                <w:szCs w:val="16"/>
                <w:lang w:val="cs-CZ"/>
              </w:rPr>
            </w:pPr>
            <w:r w:rsidRPr="00284463">
              <w:rPr>
                <w:sz w:val="16"/>
                <w:szCs w:val="16"/>
                <w:lang w:val="cs-CZ"/>
              </w:rPr>
              <w:t>4 068</w:t>
            </w:r>
          </w:p>
        </w:tc>
        <w:tc>
          <w:tcPr>
            <w:tcW w:w="569" w:type="dxa"/>
            <w:tcBorders>
              <w:top w:val="nil"/>
              <w:left w:val="nil"/>
              <w:bottom w:val="single" w:sz="4" w:space="0" w:color="auto"/>
              <w:right w:val="single" w:sz="8" w:space="0" w:color="auto"/>
            </w:tcBorders>
          </w:tcPr>
          <w:p w14:paraId="15A5A18C" w14:textId="77777777" w:rsidR="005B3BDD" w:rsidRPr="00284463" w:rsidRDefault="005B3BDD" w:rsidP="002153F7">
            <w:pPr>
              <w:jc w:val="right"/>
              <w:rPr>
                <w:sz w:val="16"/>
                <w:szCs w:val="16"/>
                <w:lang w:val="cs-CZ"/>
              </w:rPr>
            </w:pPr>
          </w:p>
        </w:tc>
      </w:tr>
      <w:tr w:rsidR="005B3BDD" w:rsidRPr="00284463" w14:paraId="0C3A5334" w14:textId="0E3347BC" w:rsidTr="005B3BDD">
        <w:trPr>
          <w:trHeight w:val="264"/>
        </w:trPr>
        <w:tc>
          <w:tcPr>
            <w:tcW w:w="664" w:type="dxa"/>
            <w:tcBorders>
              <w:top w:val="nil"/>
              <w:left w:val="single" w:sz="8" w:space="0" w:color="auto"/>
              <w:bottom w:val="single" w:sz="4" w:space="0" w:color="auto"/>
              <w:right w:val="single" w:sz="4" w:space="0" w:color="auto"/>
            </w:tcBorders>
            <w:shd w:val="clear" w:color="auto" w:fill="auto"/>
            <w:noWrap/>
            <w:vAlign w:val="bottom"/>
            <w:hideMark/>
          </w:tcPr>
          <w:p w14:paraId="303DB22A" w14:textId="77777777" w:rsidR="005B3BDD" w:rsidRPr="00284463" w:rsidRDefault="005B3BDD" w:rsidP="002153F7">
            <w:pPr>
              <w:rPr>
                <w:sz w:val="16"/>
                <w:szCs w:val="16"/>
                <w:lang w:val="cs-CZ"/>
              </w:rPr>
            </w:pPr>
            <w:r w:rsidRPr="00284463">
              <w:rPr>
                <w:sz w:val="16"/>
                <w:szCs w:val="16"/>
                <w:lang w:val="cs-CZ"/>
              </w:rPr>
              <w:t> </w:t>
            </w:r>
          </w:p>
        </w:tc>
        <w:tc>
          <w:tcPr>
            <w:tcW w:w="5163" w:type="dxa"/>
            <w:tcBorders>
              <w:top w:val="nil"/>
              <w:left w:val="nil"/>
              <w:bottom w:val="single" w:sz="4" w:space="0" w:color="auto"/>
              <w:right w:val="single" w:sz="8" w:space="0" w:color="auto"/>
            </w:tcBorders>
            <w:shd w:val="clear" w:color="auto" w:fill="auto"/>
            <w:noWrap/>
            <w:vAlign w:val="bottom"/>
            <w:hideMark/>
          </w:tcPr>
          <w:p w14:paraId="49E8C103" w14:textId="77777777" w:rsidR="005B3BDD" w:rsidRPr="00284463" w:rsidRDefault="005B3BDD" w:rsidP="002153F7">
            <w:pPr>
              <w:rPr>
                <w:sz w:val="16"/>
                <w:szCs w:val="16"/>
                <w:lang w:val="cs-CZ"/>
              </w:rPr>
            </w:pPr>
            <w:r w:rsidRPr="00284463">
              <w:rPr>
                <w:sz w:val="16"/>
                <w:szCs w:val="16"/>
                <w:lang w:val="cs-CZ"/>
              </w:rPr>
              <w:t>hodnostní/výkonnostní příplatek</w:t>
            </w:r>
          </w:p>
        </w:tc>
        <w:tc>
          <w:tcPr>
            <w:tcW w:w="992" w:type="dxa"/>
            <w:tcBorders>
              <w:top w:val="nil"/>
              <w:left w:val="nil"/>
              <w:bottom w:val="single" w:sz="4" w:space="0" w:color="auto"/>
              <w:right w:val="single" w:sz="4" w:space="0" w:color="auto"/>
            </w:tcBorders>
            <w:shd w:val="clear" w:color="auto" w:fill="auto"/>
            <w:noWrap/>
            <w:vAlign w:val="bottom"/>
            <w:hideMark/>
          </w:tcPr>
          <w:p w14:paraId="01415C12" w14:textId="77777777" w:rsidR="005B3BDD" w:rsidRPr="00284463" w:rsidRDefault="005B3BDD" w:rsidP="002153F7">
            <w:pPr>
              <w:jc w:val="right"/>
              <w:rPr>
                <w:sz w:val="16"/>
                <w:szCs w:val="16"/>
                <w:lang w:val="cs-CZ"/>
              </w:rPr>
            </w:pPr>
            <w:r w:rsidRPr="00284463">
              <w:rPr>
                <w:sz w:val="16"/>
                <w:szCs w:val="16"/>
                <w:lang w:val="cs-CZ"/>
              </w:rPr>
              <w:t>1 233</w:t>
            </w:r>
          </w:p>
        </w:tc>
        <w:tc>
          <w:tcPr>
            <w:tcW w:w="851" w:type="dxa"/>
            <w:tcBorders>
              <w:top w:val="nil"/>
              <w:left w:val="nil"/>
              <w:bottom w:val="single" w:sz="4" w:space="0" w:color="auto"/>
              <w:right w:val="single" w:sz="4" w:space="0" w:color="auto"/>
            </w:tcBorders>
            <w:shd w:val="clear" w:color="auto" w:fill="auto"/>
            <w:noWrap/>
            <w:vAlign w:val="bottom"/>
            <w:hideMark/>
          </w:tcPr>
          <w:p w14:paraId="4375D90F" w14:textId="77777777" w:rsidR="005B3BDD" w:rsidRPr="00284463" w:rsidRDefault="005B3BDD" w:rsidP="002153F7">
            <w:pPr>
              <w:jc w:val="right"/>
              <w:rPr>
                <w:sz w:val="16"/>
                <w:szCs w:val="16"/>
                <w:lang w:val="cs-CZ"/>
              </w:rPr>
            </w:pPr>
            <w:r w:rsidRPr="00284463">
              <w:rPr>
                <w:sz w:val="16"/>
                <w:szCs w:val="16"/>
                <w:lang w:val="cs-CZ"/>
              </w:rPr>
              <w:t>657</w:t>
            </w:r>
          </w:p>
        </w:tc>
        <w:tc>
          <w:tcPr>
            <w:tcW w:w="918" w:type="dxa"/>
            <w:tcBorders>
              <w:top w:val="nil"/>
              <w:left w:val="nil"/>
              <w:bottom w:val="single" w:sz="4" w:space="0" w:color="auto"/>
              <w:right w:val="single" w:sz="8" w:space="0" w:color="auto"/>
            </w:tcBorders>
            <w:shd w:val="clear" w:color="auto" w:fill="auto"/>
            <w:noWrap/>
            <w:vAlign w:val="bottom"/>
            <w:hideMark/>
          </w:tcPr>
          <w:p w14:paraId="1B14E8F9" w14:textId="77777777" w:rsidR="005B3BDD" w:rsidRPr="00284463" w:rsidRDefault="005B3BDD" w:rsidP="002153F7">
            <w:pPr>
              <w:jc w:val="right"/>
              <w:rPr>
                <w:sz w:val="16"/>
                <w:szCs w:val="16"/>
                <w:lang w:val="cs-CZ"/>
              </w:rPr>
            </w:pPr>
            <w:r w:rsidRPr="00284463">
              <w:rPr>
                <w:sz w:val="16"/>
                <w:szCs w:val="16"/>
                <w:lang w:val="cs-CZ"/>
              </w:rPr>
              <w:t>576</w:t>
            </w:r>
          </w:p>
        </w:tc>
        <w:tc>
          <w:tcPr>
            <w:tcW w:w="569" w:type="dxa"/>
            <w:tcBorders>
              <w:top w:val="nil"/>
              <w:left w:val="nil"/>
              <w:bottom w:val="single" w:sz="4" w:space="0" w:color="auto"/>
              <w:right w:val="single" w:sz="8" w:space="0" w:color="auto"/>
            </w:tcBorders>
          </w:tcPr>
          <w:p w14:paraId="6053C2E6" w14:textId="77777777" w:rsidR="005B3BDD" w:rsidRPr="00284463" w:rsidRDefault="005B3BDD" w:rsidP="002153F7">
            <w:pPr>
              <w:jc w:val="right"/>
              <w:rPr>
                <w:sz w:val="16"/>
                <w:szCs w:val="16"/>
                <w:lang w:val="cs-CZ"/>
              </w:rPr>
            </w:pPr>
          </w:p>
        </w:tc>
      </w:tr>
      <w:tr w:rsidR="005B3BDD" w:rsidRPr="00284463" w14:paraId="453E71A5" w14:textId="0868D5F6" w:rsidTr="005B3BDD">
        <w:trPr>
          <w:trHeight w:val="264"/>
        </w:trPr>
        <w:tc>
          <w:tcPr>
            <w:tcW w:w="664" w:type="dxa"/>
            <w:tcBorders>
              <w:top w:val="nil"/>
              <w:left w:val="single" w:sz="8" w:space="0" w:color="auto"/>
              <w:bottom w:val="single" w:sz="4" w:space="0" w:color="auto"/>
              <w:right w:val="single" w:sz="4" w:space="0" w:color="auto"/>
            </w:tcBorders>
            <w:shd w:val="clear" w:color="auto" w:fill="auto"/>
            <w:noWrap/>
            <w:vAlign w:val="bottom"/>
            <w:hideMark/>
          </w:tcPr>
          <w:p w14:paraId="3496B4F4" w14:textId="77777777" w:rsidR="005B3BDD" w:rsidRPr="00284463" w:rsidRDefault="005B3BDD" w:rsidP="002153F7">
            <w:pPr>
              <w:rPr>
                <w:sz w:val="16"/>
                <w:szCs w:val="16"/>
                <w:lang w:val="cs-CZ"/>
              </w:rPr>
            </w:pPr>
            <w:r w:rsidRPr="00284463">
              <w:rPr>
                <w:sz w:val="16"/>
                <w:szCs w:val="16"/>
                <w:lang w:val="cs-CZ"/>
              </w:rPr>
              <w:t> </w:t>
            </w:r>
          </w:p>
        </w:tc>
        <w:tc>
          <w:tcPr>
            <w:tcW w:w="5163" w:type="dxa"/>
            <w:tcBorders>
              <w:top w:val="nil"/>
              <w:left w:val="nil"/>
              <w:bottom w:val="single" w:sz="4" w:space="0" w:color="auto"/>
              <w:right w:val="single" w:sz="8" w:space="0" w:color="auto"/>
            </w:tcBorders>
            <w:shd w:val="clear" w:color="auto" w:fill="auto"/>
            <w:noWrap/>
            <w:vAlign w:val="bottom"/>
            <w:hideMark/>
          </w:tcPr>
          <w:p w14:paraId="14A8BDEC" w14:textId="77777777" w:rsidR="005B3BDD" w:rsidRPr="00284463" w:rsidRDefault="005B3BDD" w:rsidP="002153F7">
            <w:pPr>
              <w:rPr>
                <w:sz w:val="16"/>
                <w:szCs w:val="16"/>
                <w:lang w:val="cs-CZ"/>
              </w:rPr>
            </w:pPr>
            <w:r w:rsidRPr="00284463">
              <w:rPr>
                <w:sz w:val="16"/>
                <w:szCs w:val="16"/>
                <w:lang w:val="cs-CZ"/>
              </w:rPr>
              <w:t>příplatky za vedení</w:t>
            </w:r>
          </w:p>
        </w:tc>
        <w:tc>
          <w:tcPr>
            <w:tcW w:w="992" w:type="dxa"/>
            <w:tcBorders>
              <w:top w:val="nil"/>
              <w:left w:val="nil"/>
              <w:bottom w:val="single" w:sz="4" w:space="0" w:color="auto"/>
              <w:right w:val="single" w:sz="4" w:space="0" w:color="auto"/>
            </w:tcBorders>
            <w:shd w:val="clear" w:color="auto" w:fill="auto"/>
            <w:noWrap/>
            <w:vAlign w:val="bottom"/>
            <w:hideMark/>
          </w:tcPr>
          <w:p w14:paraId="288AD2F0" w14:textId="77777777" w:rsidR="005B3BDD" w:rsidRPr="00284463" w:rsidRDefault="005B3BDD" w:rsidP="002153F7">
            <w:pPr>
              <w:jc w:val="right"/>
              <w:rPr>
                <w:sz w:val="16"/>
                <w:szCs w:val="16"/>
                <w:lang w:val="cs-CZ"/>
              </w:rPr>
            </w:pPr>
            <w:r w:rsidRPr="00284463">
              <w:rPr>
                <w:sz w:val="16"/>
                <w:szCs w:val="16"/>
                <w:lang w:val="cs-CZ"/>
              </w:rPr>
              <w:t>153</w:t>
            </w:r>
          </w:p>
        </w:tc>
        <w:tc>
          <w:tcPr>
            <w:tcW w:w="851" w:type="dxa"/>
            <w:tcBorders>
              <w:top w:val="nil"/>
              <w:left w:val="nil"/>
              <w:bottom w:val="single" w:sz="4" w:space="0" w:color="auto"/>
              <w:right w:val="single" w:sz="4" w:space="0" w:color="auto"/>
            </w:tcBorders>
            <w:shd w:val="clear" w:color="auto" w:fill="auto"/>
            <w:noWrap/>
            <w:vAlign w:val="bottom"/>
            <w:hideMark/>
          </w:tcPr>
          <w:p w14:paraId="70CB109C" w14:textId="77777777" w:rsidR="005B3BDD" w:rsidRPr="00284463" w:rsidRDefault="005B3BDD" w:rsidP="002153F7">
            <w:pPr>
              <w:jc w:val="right"/>
              <w:rPr>
                <w:sz w:val="16"/>
                <w:szCs w:val="16"/>
                <w:lang w:val="cs-CZ"/>
              </w:rPr>
            </w:pPr>
            <w:r w:rsidRPr="00284463">
              <w:rPr>
                <w:sz w:val="16"/>
                <w:szCs w:val="16"/>
                <w:lang w:val="cs-CZ"/>
              </w:rPr>
              <w:t>196</w:t>
            </w:r>
          </w:p>
        </w:tc>
        <w:tc>
          <w:tcPr>
            <w:tcW w:w="918" w:type="dxa"/>
            <w:tcBorders>
              <w:top w:val="nil"/>
              <w:left w:val="nil"/>
              <w:bottom w:val="single" w:sz="4" w:space="0" w:color="auto"/>
              <w:right w:val="single" w:sz="8" w:space="0" w:color="auto"/>
            </w:tcBorders>
            <w:shd w:val="clear" w:color="auto" w:fill="auto"/>
            <w:noWrap/>
            <w:vAlign w:val="bottom"/>
            <w:hideMark/>
          </w:tcPr>
          <w:p w14:paraId="39491F31" w14:textId="77777777" w:rsidR="005B3BDD" w:rsidRPr="00284463" w:rsidRDefault="005B3BDD" w:rsidP="002153F7">
            <w:pPr>
              <w:jc w:val="right"/>
              <w:rPr>
                <w:sz w:val="16"/>
                <w:szCs w:val="16"/>
                <w:lang w:val="cs-CZ"/>
              </w:rPr>
            </w:pPr>
            <w:r w:rsidRPr="00284463">
              <w:rPr>
                <w:color w:val="FF0000"/>
                <w:sz w:val="16"/>
                <w:szCs w:val="16"/>
                <w:lang w:val="cs-CZ"/>
              </w:rPr>
              <w:t>43</w:t>
            </w:r>
          </w:p>
        </w:tc>
        <w:tc>
          <w:tcPr>
            <w:tcW w:w="569" w:type="dxa"/>
            <w:tcBorders>
              <w:top w:val="nil"/>
              <w:left w:val="nil"/>
              <w:bottom w:val="single" w:sz="4" w:space="0" w:color="auto"/>
              <w:right w:val="single" w:sz="8" w:space="0" w:color="auto"/>
            </w:tcBorders>
          </w:tcPr>
          <w:p w14:paraId="38E50121" w14:textId="77777777" w:rsidR="005B3BDD" w:rsidRPr="00284463" w:rsidRDefault="005B3BDD" w:rsidP="002153F7">
            <w:pPr>
              <w:jc w:val="right"/>
              <w:rPr>
                <w:color w:val="FF0000"/>
                <w:sz w:val="16"/>
                <w:szCs w:val="16"/>
                <w:lang w:val="cs-CZ"/>
              </w:rPr>
            </w:pPr>
          </w:p>
        </w:tc>
      </w:tr>
      <w:tr w:rsidR="005B3BDD" w:rsidRPr="00284463" w14:paraId="3BA7A615" w14:textId="446922C2" w:rsidTr="005B3BDD">
        <w:trPr>
          <w:trHeight w:val="264"/>
        </w:trPr>
        <w:tc>
          <w:tcPr>
            <w:tcW w:w="664" w:type="dxa"/>
            <w:tcBorders>
              <w:top w:val="nil"/>
              <w:left w:val="single" w:sz="8" w:space="0" w:color="auto"/>
              <w:bottom w:val="single" w:sz="4" w:space="0" w:color="auto"/>
              <w:right w:val="single" w:sz="4" w:space="0" w:color="auto"/>
            </w:tcBorders>
            <w:shd w:val="clear" w:color="auto" w:fill="auto"/>
            <w:noWrap/>
            <w:vAlign w:val="bottom"/>
            <w:hideMark/>
          </w:tcPr>
          <w:p w14:paraId="079A8E6D" w14:textId="77777777" w:rsidR="005B3BDD" w:rsidRPr="00284463" w:rsidRDefault="005B3BDD" w:rsidP="002153F7">
            <w:pPr>
              <w:rPr>
                <w:sz w:val="16"/>
                <w:szCs w:val="16"/>
                <w:lang w:val="cs-CZ"/>
              </w:rPr>
            </w:pPr>
            <w:r w:rsidRPr="00284463">
              <w:rPr>
                <w:sz w:val="16"/>
                <w:szCs w:val="16"/>
                <w:lang w:val="cs-CZ"/>
              </w:rPr>
              <w:t> </w:t>
            </w:r>
          </w:p>
        </w:tc>
        <w:tc>
          <w:tcPr>
            <w:tcW w:w="5163" w:type="dxa"/>
            <w:tcBorders>
              <w:top w:val="nil"/>
              <w:left w:val="nil"/>
              <w:bottom w:val="single" w:sz="4" w:space="0" w:color="auto"/>
              <w:right w:val="single" w:sz="8" w:space="0" w:color="auto"/>
            </w:tcBorders>
            <w:shd w:val="clear" w:color="auto" w:fill="auto"/>
            <w:noWrap/>
            <w:vAlign w:val="bottom"/>
            <w:hideMark/>
          </w:tcPr>
          <w:p w14:paraId="4F56AA03" w14:textId="77777777" w:rsidR="005B3BDD" w:rsidRPr="00284463" w:rsidRDefault="005B3BDD" w:rsidP="002153F7">
            <w:pPr>
              <w:rPr>
                <w:sz w:val="16"/>
                <w:szCs w:val="16"/>
                <w:lang w:val="cs-CZ"/>
              </w:rPr>
            </w:pPr>
            <w:r w:rsidRPr="00284463">
              <w:rPr>
                <w:sz w:val="16"/>
                <w:szCs w:val="16"/>
                <w:lang w:val="cs-CZ"/>
              </w:rPr>
              <w:t>osobní příplatky</w:t>
            </w:r>
          </w:p>
        </w:tc>
        <w:tc>
          <w:tcPr>
            <w:tcW w:w="992" w:type="dxa"/>
            <w:tcBorders>
              <w:top w:val="nil"/>
              <w:left w:val="nil"/>
              <w:bottom w:val="single" w:sz="4" w:space="0" w:color="auto"/>
              <w:right w:val="single" w:sz="4" w:space="0" w:color="auto"/>
            </w:tcBorders>
            <w:shd w:val="clear" w:color="auto" w:fill="auto"/>
            <w:noWrap/>
            <w:vAlign w:val="bottom"/>
            <w:hideMark/>
          </w:tcPr>
          <w:p w14:paraId="4AC51AB1" w14:textId="77777777" w:rsidR="005B3BDD" w:rsidRPr="00284463" w:rsidRDefault="005B3BDD" w:rsidP="002153F7">
            <w:pPr>
              <w:jc w:val="right"/>
              <w:rPr>
                <w:sz w:val="16"/>
                <w:szCs w:val="16"/>
                <w:lang w:val="cs-CZ"/>
              </w:rPr>
            </w:pPr>
            <w:r w:rsidRPr="00284463">
              <w:rPr>
                <w:sz w:val="16"/>
                <w:szCs w:val="16"/>
                <w:lang w:val="cs-CZ"/>
              </w:rPr>
              <w:t>773</w:t>
            </w:r>
          </w:p>
        </w:tc>
        <w:tc>
          <w:tcPr>
            <w:tcW w:w="851" w:type="dxa"/>
            <w:tcBorders>
              <w:top w:val="nil"/>
              <w:left w:val="nil"/>
              <w:bottom w:val="single" w:sz="4" w:space="0" w:color="auto"/>
              <w:right w:val="single" w:sz="4" w:space="0" w:color="auto"/>
            </w:tcBorders>
            <w:shd w:val="clear" w:color="auto" w:fill="auto"/>
            <w:noWrap/>
            <w:vAlign w:val="bottom"/>
            <w:hideMark/>
          </w:tcPr>
          <w:p w14:paraId="069DDDD5" w14:textId="77777777" w:rsidR="005B3BDD" w:rsidRPr="00284463" w:rsidRDefault="005B3BDD" w:rsidP="002153F7">
            <w:pPr>
              <w:jc w:val="right"/>
              <w:rPr>
                <w:sz w:val="16"/>
                <w:szCs w:val="16"/>
                <w:lang w:val="cs-CZ"/>
              </w:rPr>
            </w:pPr>
            <w:r w:rsidRPr="00284463">
              <w:rPr>
                <w:sz w:val="16"/>
                <w:szCs w:val="16"/>
                <w:lang w:val="cs-CZ"/>
              </w:rPr>
              <w:t>2 223</w:t>
            </w:r>
          </w:p>
        </w:tc>
        <w:tc>
          <w:tcPr>
            <w:tcW w:w="918" w:type="dxa"/>
            <w:tcBorders>
              <w:top w:val="nil"/>
              <w:left w:val="nil"/>
              <w:bottom w:val="single" w:sz="4" w:space="0" w:color="auto"/>
              <w:right w:val="single" w:sz="8" w:space="0" w:color="auto"/>
            </w:tcBorders>
            <w:shd w:val="clear" w:color="auto" w:fill="auto"/>
            <w:noWrap/>
            <w:vAlign w:val="bottom"/>
            <w:hideMark/>
          </w:tcPr>
          <w:p w14:paraId="7153EC93" w14:textId="77777777" w:rsidR="005B3BDD" w:rsidRPr="00284463" w:rsidRDefault="005B3BDD" w:rsidP="002153F7">
            <w:pPr>
              <w:jc w:val="right"/>
              <w:rPr>
                <w:sz w:val="16"/>
                <w:szCs w:val="16"/>
                <w:lang w:val="cs-CZ"/>
              </w:rPr>
            </w:pPr>
            <w:r w:rsidRPr="00284463">
              <w:rPr>
                <w:color w:val="FF0000"/>
                <w:sz w:val="16"/>
                <w:szCs w:val="16"/>
                <w:lang w:val="cs-CZ"/>
              </w:rPr>
              <w:t>1 450</w:t>
            </w:r>
          </w:p>
        </w:tc>
        <w:tc>
          <w:tcPr>
            <w:tcW w:w="569" w:type="dxa"/>
            <w:tcBorders>
              <w:top w:val="nil"/>
              <w:left w:val="nil"/>
              <w:bottom w:val="single" w:sz="4" w:space="0" w:color="auto"/>
              <w:right w:val="single" w:sz="8" w:space="0" w:color="auto"/>
            </w:tcBorders>
          </w:tcPr>
          <w:p w14:paraId="1067492B" w14:textId="77777777" w:rsidR="005B3BDD" w:rsidRPr="00284463" w:rsidRDefault="005B3BDD" w:rsidP="002153F7">
            <w:pPr>
              <w:jc w:val="right"/>
              <w:rPr>
                <w:color w:val="FF0000"/>
                <w:sz w:val="16"/>
                <w:szCs w:val="16"/>
                <w:lang w:val="cs-CZ"/>
              </w:rPr>
            </w:pPr>
          </w:p>
        </w:tc>
      </w:tr>
      <w:tr w:rsidR="005B3BDD" w:rsidRPr="00284463" w14:paraId="4C209882" w14:textId="656E9E2E" w:rsidTr="005B3BDD">
        <w:trPr>
          <w:trHeight w:val="264"/>
        </w:trPr>
        <w:tc>
          <w:tcPr>
            <w:tcW w:w="664" w:type="dxa"/>
            <w:tcBorders>
              <w:top w:val="nil"/>
              <w:left w:val="single" w:sz="8" w:space="0" w:color="auto"/>
              <w:bottom w:val="single" w:sz="4" w:space="0" w:color="auto"/>
              <w:right w:val="single" w:sz="4" w:space="0" w:color="auto"/>
            </w:tcBorders>
            <w:shd w:val="clear" w:color="auto" w:fill="auto"/>
            <w:noWrap/>
            <w:vAlign w:val="bottom"/>
            <w:hideMark/>
          </w:tcPr>
          <w:p w14:paraId="299B5603" w14:textId="77777777" w:rsidR="005B3BDD" w:rsidRPr="00284463" w:rsidRDefault="005B3BDD" w:rsidP="002153F7">
            <w:pPr>
              <w:rPr>
                <w:sz w:val="16"/>
                <w:szCs w:val="16"/>
                <w:lang w:val="cs-CZ"/>
              </w:rPr>
            </w:pPr>
            <w:r w:rsidRPr="00284463">
              <w:rPr>
                <w:sz w:val="16"/>
                <w:szCs w:val="16"/>
                <w:lang w:val="cs-CZ"/>
              </w:rPr>
              <w:t> </w:t>
            </w:r>
          </w:p>
        </w:tc>
        <w:tc>
          <w:tcPr>
            <w:tcW w:w="5163" w:type="dxa"/>
            <w:tcBorders>
              <w:top w:val="nil"/>
              <w:left w:val="nil"/>
              <w:bottom w:val="single" w:sz="4" w:space="0" w:color="auto"/>
              <w:right w:val="single" w:sz="8" w:space="0" w:color="auto"/>
            </w:tcBorders>
            <w:shd w:val="clear" w:color="auto" w:fill="auto"/>
            <w:noWrap/>
            <w:vAlign w:val="bottom"/>
            <w:hideMark/>
          </w:tcPr>
          <w:p w14:paraId="473F7786" w14:textId="77777777" w:rsidR="005B3BDD" w:rsidRPr="00284463" w:rsidRDefault="005B3BDD" w:rsidP="002153F7">
            <w:pPr>
              <w:rPr>
                <w:sz w:val="16"/>
                <w:szCs w:val="16"/>
                <w:lang w:val="cs-CZ"/>
              </w:rPr>
            </w:pPr>
            <w:r w:rsidRPr="00284463">
              <w:rPr>
                <w:sz w:val="16"/>
                <w:szCs w:val="16"/>
                <w:lang w:val="cs-CZ"/>
              </w:rPr>
              <w:t>ostatní zvláštní příplatky</w:t>
            </w:r>
          </w:p>
        </w:tc>
        <w:tc>
          <w:tcPr>
            <w:tcW w:w="992" w:type="dxa"/>
            <w:tcBorders>
              <w:top w:val="nil"/>
              <w:left w:val="nil"/>
              <w:bottom w:val="single" w:sz="4" w:space="0" w:color="auto"/>
              <w:right w:val="single" w:sz="4" w:space="0" w:color="auto"/>
            </w:tcBorders>
            <w:shd w:val="clear" w:color="auto" w:fill="auto"/>
            <w:noWrap/>
            <w:vAlign w:val="bottom"/>
            <w:hideMark/>
          </w:tcPr>
          <w:p w14:paraId="68D91FA0" w14:textId="77777777" w:rsidR="005B3BDD" w:rsidRPr="00284463" w:rsidRDefault="005B3BDD" w:rsidP="002153F7">
            <w:pPr>
              <w:jc w:val="right"/>
              <w:rPr>
                <w:sz w:val="16"/>
                <w:szCs w:val="16"/>
                <w:lang w:val="cs-CZ"/>
              </w:rPr>
            </w:pPr>
            <w:r w:rsidRPr="00284463">
              <w:rPr>
                <w:sz w:val="16"/>
                <w:szCs w:val="16"/>
                <w:lang w:val="cs-CZ"/>
              </w:rPr>
              <w:t>1 147</w:t>
            </w:r>
          </w:p>
        </w:tc>
        <w:tc>
          <w:tcPr>
            <w:tcW w:w="851" w:type="dxa"/>
            <w:tcBorders>
              <w:top w:val="nil"/>
              <w:left w:val="nil"/>
              <w:bottom w:val="single" w:sz="4" w:space="0" w:color="auto"/>
              <w:right w:val="single" w:sz="4" w:space="0" w:color="auto"/>
            </w:tcBorders>
            <w:shd w:val="clear" w:color="auto" w:fill="auto"/>
            <w:noWrap/>
            <w:vAlign w:val="bottom"/>
            <w:hideMark/>
          </w:tcPr>
          <w:p w14:paraId="6C9F360F" w14:textId="77777777" w:rsidR="005B3BDD" w:rsidRPr="00284463" w:rsidRDefault="005B3BDD" w:rsidP="002153F7">
            <w:pPr>
              <w:jc w:val="right"/>
              <w:rPr>
                <w:sz w:val="16"/>
                <w:szCs w:val="16"/>
                <w:lang w:val="cs-CZ"/>
              </w:rPr>
            </w:pPr>
            <w:r w:rsidRPr="00284463">
              <w:rPr>
                <w:sz w:val="16"/>
                <w:szCs w:val="16"/>
                <w:lang w:val="cs-CZ"/>
              </w:rPr>
              <w:t>699</w:t>
            </w:r>
          </w:p>
        </w:tc>
        <w:tc>
          <w:tcPr>
            <w:tcW w:w="918" w:type="dxa"/>
            <w:tcBorders>
              <w:top w:val="nil"/>
              <w:left w:val="nil"/>
              <w:bottom w:val="single" w:sz="4" w:space="0" w:color="auto"/>
              <w:right w:val="single" w:sz="8" w:space="0" w:color="auto"/>
            </w:tcBorders>
            <w:shd w:val="clear" w:color="auto" w:fill="auto"/>
            <w:noWrap/>
            <w:vAlign w:val="bottom"/>
            <w:hideMark/>
          </w:tcPr>
          <w:p w14:paraId="32E9BDBC" w14:textId="77777777" w:rsidR="005B3BDD" w:rsidRPr="00284463" w:rsidRDefault="005B3BDD" w:rsidP="002153F7">
            <w:pPr>
              <w:jc w:val="right"/>
              <w:rPr>
                <w:sz w:val="16"/>
                <w:szCs w:val="16"/>
                <w:lang w:val="cs-CZ"/>
              </w:rPr>
            </w:pPr>
            <w:r w:rsidRPr="00284463">
              <w:rPr>
                <w:sz w:val="16"/>
                <w:szCs w:val="16"/>
                <w:lang w:val="cs-CZ"/>
              </w:rPr>
              <w:t>448</w:t>
            </w:r>
          </w:p>
        </w:tc>
        <w:tc>
          <w:tcPr>
            <w:tcW w:w="569" w:type="dxa"/>
            <w:tcBorders>
              <w:top w:val="nil"/>
              <w:left w:val="nil"/>
              <w:bottom w:val="single" w:sz="4" w:space="0" w:color="auto"/>
              <w:right w:val="single" w:sz="8" w:space="0" w:color="auto"/>
            </w:tcBorders>
          </w:tcPr>
          <w:p w14:paraId="5FB74751" w14:textId="77777777" w:rsidR="005B3BDD" w:rsidRPr="00284463" w:rsidRDefault="005B3BDD" w:rsidP="002153F7">
            <w:pPr>
              <w:jc w:val="right"/>
              <w:rPr>
                <w:sz w:val="16"/>
                <w:szCs w:val="16"/>
                <w:lang w:val="cs-CZ"/>
              </w:rPr>
            </w:pPr>
          </w:p>
        </w:tc>
      </w:tr>
      <w:tr w:rsidR="005B3BDD" w:rsidRPr="00284463" w14:paraId="349497AC" w14:textId="1537CAE4" w:rsidTr="005B3BDD">
        <w:trPr>
          <w:trHeight w:val="264"/>
        </w:trPr>
        <w:tc>
          <w:tcPr>
            <w:tcW w:w="664" w:type="dxa"/>
            <w:tcBorders>
              <w:top w:val="nil"/>
              <w:left w:val="single" w:sz="8" w:space="0" w:color="auto"/>
              <w:bottom w:val="single" w:sz="4" w:space="0" w:color="auto"/>
              <w:right w:val="single" w:sz="4" w:space="0" w:color="auto"/>
            </w:tcBorders>
            <w:shd w:val="clear" w:color="auto" w:fill="auto"/>
            <w:noWrap/>
            <w:vAlign w:val="bottom"/>
            <w:hideMark/>
          </w:tcPr>
          <w:p w14:paraId="19878A72" w14:textId="77777777" w:rsidR="005B3BDD" w:rsidRPr="00284463" w:rsidRDefault="005B3BDD" w:rsidP="002153F7">
            <w:pPr>
              <w:rPr>
                <w:sz w:val="16"/>
                <w:szCs w:val="16"/>
                <w:lang w:val="cs-CZ"/>
              </w:rPr>
            </w:pPr>
            <w:r w:rsidRPr="00284463">
              <w:rPr>
                <w:sz w:val="16"/>
                <w:szCs w:val="16"/>
                <w:lang w:val="cs-CZ"/>
              </w:rPr>
              <w:t> </w:t>
            </w:r>
          </w:p>
        </w:tc>
        <w:tc>
          <w:tcPr>
            <w:tcW w:w="5163" w:type="dxa"/>
            <w:tcBorders>
              <w:top w:val="nil"/>
              <w:left w:val="nil"/>
              <w:bottom w:val="single" w:sz="4" w:space="0" w:color="auto"/>
              <w:right w:val="single" w:sz="8" w:space="0" w:color="auto"/>
            </w:tcBorders>
            <w:shd w:val="clear" w:color="auto" w:fill="auto"/>
            <w:noWrap/>
            <w:vAlign w:val="bottom"/>
            <w:hideMark/>
          </w:tcPr>
          <w:p w14:paraId="7FD6FB5F" w14:textId="77777777" w:rsidR="005B3BDD" w:rsidRPr="00284463" w:rsidRDefault="005B3BDD" w:rsidP="002153F7">
            <w:pPr>
              <w:rPr>
                <w:sz w:val="16"/>
                <w:szCs w:val="16"/>
                <w:lang w:val="cs-CZ"/>
              </w:rPr>
            </w:pPr>
            <w:r w:rsidRPr="00284463">
              <w:rPr>
                <w:sz w:val="16"/>
                <w:szCs w:val="16"/>
                <w:lang w:val="cs-CZ"/>
              </w:rPr>
              <w:t>příplatky za práci v noci+so+ne</w:t>
            </w:r>
          </w:p>
        </w:tc>
        <w:tc>
          <w:tcPr>
            <w:tcW w:w="992" w:type="dxa"/>
            <w:tcBorders>
              <w:top w:val="nil"/>
              <w:left w:val="nil"/>
              <w:bottom w:val="single" w:sz="4" w:space="0" w:color="auto"/>
              <w:right w:val="single" w:sz="4" w:space="0" w:color="auto"/>
            </w:tcBorders>
            <w:shd w:val="clear" w:color="auto" w:fill="auto"/>
            <w:noWrap/>
            <w:vAlign w:val="bottom"/>
            <w:hideMark/>
          </w:tcPr>
          <w:p w14:paraId="7576620C" w14:textId="77777777" w:rsidR="005B3BDD" w:rsidRPr="00284463" w:rsidRDefault="005B3BDD" w:rsidP="002153F7">
            <w:pPr>
              <w:jc w:val="right"/>
              <w:rPr>
                <w:sz w:val="16"/>
                <w:szCs w:val="16"/>
                <w:lang w:val="cs-CZ"/>
              </w:rPr>
            </w:pPr>
            <w:r w:rsidRPr="00284463">
              <w:rPr>
                <w:sz w:val="16"/>
                <w:szCs w:val="16"/>
                <w:lang w:val="cs-CZ"/>
              </w:rPr>
              <w:t>64</w:t>
            </w:r>
          </w:p>
        </w:tc>
        <w:tc>
          <w:tcPr>
            <w:tcW w:w="851" w:type="dxa"/>
            <w:tcBorders>
              <w:top w:val="nil"/>
              <w:left w:val="nil"/>
              <w:bottom w:val="single" w:sz="4" w:space="0" w:color="auto"/>
              <w:right w:val="single" w:sz="4" w:space="0" w:color="auto"/>
            </w:tcBorders>
            <w:shd w:val="clear" w:color="auto" w:fill="auto"/>
            <w:noWrap/>
            <w:vAlign w:val="bottom"/>
            <w:hideMark/>
          </w:tcPr>
          <w:p w14:paraId="599C4DFC" w14:textId="77777777" w:rsidR="005B3BDD" w:rsidRPr="00284463" w:rsidRDefault="005B3BDD" w:rsidP="002153F7">
            <w:pPr>
              <w:jc w:val="right"/>
              <w:rPr>
                <w:sz w:val="16"/>
                <w:szCs w:val="16"/>
                <w:lang w:val="cs-CZ"/>
              </w:rPr>
            </w:pPr>
            <w:r w:rsidRPr="00284463">
              <w:rPr>
                <w:sz w:val="16"/>
                <w:szCs w:val="16"/>
                <w:lang w:val="cs-CZ"/>
              </w:rPr>
              <w:t>11</w:t>
            </w:r>
          </w:p>
        </w:tc>
        <w:tc>
          <w:tcPr>
            <w:tcW w:w="918" w:type="dxa"/>
            <w:tcBorders>
              <w:top w:val="nil"/>
              <w:left w:val="nil"/>
              <w:bottom w:val="single" w:sz="4" w:space="0" w:color="auto"/>
              <w:right w:val="single" w:sz="8" w:space="0" w:color="auto"/>
            </w:tcBorders>
            <w:shd w:val="clear" w:color="auto" w:fill="auto"/>
            <w:noWrap/>
            <w:vAlign w:val="bottom"/>
            <w:hideMark/>
          </w:tcPr>
          <w:p w14:paraId="5C689E7A" w14:textId="77777777" w:rsidR="005B3BDD" w:rsidRPr="00284463" w:rsidRDefault="005B3BDD" w:rsidP="002153F7">
            <w:pPr>
              <w:jc w:val="right"/>
              <w:rPr>
                <w:sz w:val="16"/>
                <w:szCs w:val="16"/>
                <w:lang w:val="cs-CZ"/>
              </w:rPr>
            </w:pPr>
            <w:r w:rsidRPr="00284463">
              <w:rPr>
                <w:sz w:val="16"/>
                <w:szCs w:val="16"/>
                <w:lang w:val="cs-CZ"/>
              </w:rPr>
              <w:t>53</w:t>
            </w:r>
          </w:p>
        </w:tc>
        <w:tc>
          <w:tcPr>
            <w:tcW w:w="569" w:type="dxa"/>
            <w:tcBorders>
              <w:top w:val="nil"/>
              <w:left w:val="nil"/>
              <w:bottom w:val="single" w:sz="4" w:space="0" w:color="auto"/>
              <w:right w:val="single" w:sz="8" w:space="0" w:color="auto"/>
            </w:tcBorders>
          </w:tcPr>
          <w:p w14:paraId="186F45DA" w14:textId="77777777" w:rsidR="005B3BDD" w:rsidRPr="00284463" w:rsidRDefault="005B3BDD" w:rsidP="002153F7">
            <w:pPr>
              <w:jc w:val="right"/>
              <w:rPr>
                <w:sz w:val="16"/>
                <w:szCs w:val="16"/>
                <w:lang w:val="cs-CZ"/>
              </w:rPr>
            </w:pPr>
          </w:p>
        </w:tc>
      </w:tr>
      <w:tr w:rsidR="005B3BDD" w:rsidRPr="00284463" w14:paraId="6C0A0438" w14:textId="7FD7786F" w:rsidTr="005B3BDD">
        <w:trPr>
          <w:trHeight w:val="264"/>
        </w:trPr>
        <w:tc>
          <w:tcPr>
            <w:tcW w:w="664" w:type="dxa"/>
            <w:tcBorders>
              <w:top w:val="nil"/>
              <w:left w:val="single" w:sz="8" w:space="0" w:color="auto"/>
              <w:bottom w:val="single" w:sz="4" w:space="0" w:color="auto"/>
              <w:right w:val="single" w:sz="4" w:space="0" w:color="auto"/>
            </w:tcBorders>
            <w:shd w:val="clear" w:color="auto" w:fill="auto"/>
            <w:noWrap/>
            <w:vAlign w:val="bottom"/>
            <w:hideMark/>
          </w:tcPr>
          <w:p w14:paraId="438B63CC" w14:textId="77777777" w:rsidR="005B3BDD" w:rsidRPr="00284463" w:rsidRDefault="005B3BDD" w:rsidP="002153F7">
            <w:pPr>
              <w:rPr>
                <w:sz w:val="16"/>
                <w:szCs w:val="16"/>
                <w:lang w:val="cs-CZ"/>
              </w:rPr>
            </w:pPr>
            <w:r w:rsidRPr="00284463">
              <w:rPr>
                <w:sz w:val="16"/>
                <w:szCs w:val="16"/>
                <w:lang w:val="cs-CZ"/>
              </w:rPr>
              <w:t> </w:t>
            </w:r>
          </w:p>
        </w:tc>
        <w:tc>
          <w:tcPr>
            <w:tcW w:w="5163" w:type="dxa"/>
            <w:tcBorders>
              <w:top w:val="nil"/>
              <w:left w:val="nil"/>
              <w:bottom w:val="single" w:sz="4" w:space="0" w:color="auto"/>
              <w:right w:val="single" w:sz="8" w:space="0" w:color="auto"/>
            </w:tcBorders>
            <w:shd w:val="clear" w:color="auto" w:fill="auto"/>
            <w:noWrap/>
            <w:vAlign w:val="bottom"/>
            <w:hideMark/>
          </w:tcPr>
          <w:p w14:paraId="5580596E" w14:textId="77777777" w:rsidR="005B3BDD" w:rsidRPr="00284463" w:rsidRDefault="005B3BDD" w:rsidP="002153F7">
            <w:pPr>
              <w:rPr>
                <w:sz w:val="16"/>
                <w:szCs w:val="16"/>
                <w:lang w:val="cs-CZ"/>
              </w:rPr>
            </w:pPr>
            <w:r w:rsidRPr="00284463">
              <w:rPr>
                <w:sz w:val="16"/>
                <w:szCs w:val="16"/>
                <w:lang w:val="cs-CZ"/>
              </w:rPr>
              <w:t>příplatky za práci přesčas a ve svátek</w:t>
            </w:r>
          </w:p>
        </w:tc>
        <w:tc>
          <w:tcPr>
            <w:tcW w:w="992" w:type="dxa"/>
            <w:tcBorders>
              <w:top w:val="nil"/>
              <w:left w:val="nil"/>
              <w:bottom w:val="single" w:sz="4" w:space="0" w:color="auto"/>
              <w:right w:val="single" w:sz="4" w:space="0" w:color="auto"/>
            </w:tcBorders>
            <w:shd w:val="clear" w:color="auto" w:fill="auto"/>
            <w:noWrap/>
            <w:vAlign w:val="bottom"/>
            <w:hideMark/>
          </w:tcPr>
          <w:p w14:paraId="37F3C660" w14:textId="77777777" w:rsidR="005B3BDD" w:rsidRPr="00284463" w:rsidRDefault="005B3BDD" w:rsidP="002153F7">
            <w:pPr>
              <w:jc w:val="right"/>
              <w:rPr>
                <w:sz w:val="16"/>
                <w:szCs w:val="16"/>
                <w:lang w:val="cs-CZ"/>
              </w:rPr>
            </w:pPr>
            <w:r w:rsidRPr="00284463">
              <w:rPr>
                <w:sz w:val="16"/>
                <w:szCs w:val="16"/>
                <w:lang w:val="cs-CZ"/>
              </w:rPr>
              <w:t>55</w:t>
            </w:r>
          </w:p>
        </w:tc>
        <w:tc>
          <w:tcPr>
            <w:tcW w:w="851" w:type="dxa"/>
            <w:tcBorders>
              <w:top w:val="nil"/>
              <w:left w:val="nil"/>
              <w:bottom w:val="single" w:sz="4" w:space="0" w:color="auto"/>
              <w:right w:val="single" w:sz="4" w:space="0" w:color="auto"/>
            </w:tcBorders>
            <w:shd w:val="clear" w:color="auto" w:fill="auto"/>
            <w:noWrap/>
            <w:vAlign w:val="bottom"/>
            <w:hideMark/>
          </w:tcPr>
          <w:p w14:paraId="1E0E1C8E" w14:textId="77777777" w:rsidR="005B3BDD" w:rsidRPr="00284463" w:rsidRDefault="005B3BDD" w:rsidP="002153F7">
            <w:pPr>
              <w:jc w:val="right"/>
              <w:rPr>
                <w:sz w:val="16"/>
                <w:szCs w:val="16"/>
                <w:lang w:val="cs-CZ"/>
              </w:rPr>
            </w:pPr>
            <w:r w:rsidRPr="00284463">
              <w:rPr>
                <w:sz w:val="16"/>
                <w:szCs w:val="16"/>
                <w:lang w:val="cs-CZ"/>
              </w:rPr>
              <w:t>17</w:t>
            </w:r>
          </w:p>
        </w:tc>
        <w:tc>
          <w:tcPr>
            <w:tcW w:w="918" w:type="dxa"/>
            <w:tcBorders>
              <w:top w:val="nil"/>
              <w:left w:val="nil"/>
              <w:bottom w:val="single" w:sz="4" w:space="0" w:color="auto"/>
              <w:right w:val="single" w:sz="8" w:space="0" w:color="auto"/>
            </w:tcBorders>
            <w:shd w:val="clear" w:color="auto" w:fill="auto"/>
            <w:noWrap/>
            <w:vAlign w:val="bottom"/>
            <w:hideMark/>
          </w:tcPr>
          <w:p w14:paraId="1E6A3899" w14:textId="77777777" w:rsidR="005B3BDD" w:rsidRPr="00284463" w:rsidRDefault="005B3BDD" w:rsidP="002153F7">
            <w:pPr>
              <w:jc w:val="right"/>
              <w:rPr>
                <w:sz w:val="16"/>
                <w:szCs w:val="16"/>
                <w:lang w:val="cs-CZ"/>
              </w:rPr>
            </w:pPr>
            <w:r w:rsidRPr="00284463">
              <w:rPr>
                <w:sz w:val="16"/>
                <w:szCs w:val="16"/>
                <w:lang w:val="cs-CZ"/>
              </w:rPr>
              <w:t>38</w:t>
            </w:r>
          </w:p>
        </w:tc>
        <w:tc>
          <w:tcPr>
            <w:tcW w:w="569" w:type="dxa"/>
            <w:tcBorders>
              <w:top w:val="nil"/>
              <w:left w:val="nil"/>
              <w:bottom w:val="single" w:sz="4" w:space="0" w:color="auto"/>
              <w:right w:val="single" w:sz="8" w:space="0" w:color="auto"/>
            </w:tcBorders>
          </w:tcPr>
          <w:p w14:paraId="08343C07" w14:textId="77777777" w:rsidR="005B3BDD" w:rsidRPr="00284463" w:rsidRDefault="005B3BDD" w:rsidP="002153F7">
            <w:pPr>
              <w:jc w:val="right"/>
              <w:rPr>
                <w:sz w:val="16"/>
                <w:szCs w:val="16"/>
                <w:lang w:val="cs-CZ"/>
              </w:rPr>
            </w:pPr>
          </w:p>
        </w:tc>
      </w:tr>
      <w:tr w:rsidR="005B3BDD" w:rsidRPr="00284463" w14:paraId="55A83918" w14:textId="56EF9C34" w:rsidTr="005B3BDD">
        <w:trPr>
          <w:trHeight w:val="264"/>
        </w:trPr>
        <w:tc>
          <w:tcPr>
            <w:tcW w:w="664" w:type="dxa"/>
            <w:tcBorders>
              <w:top w:val="nil"/>
              <w:left w:val="single" w:sz="8" w:space="0" w:color="auto"/>
              <w:bottom w:val="single" w:sz="4" w:space="0" w:color="auto"/>
              <w:right w:val="single" w:sz="4" w:space="0" w:color="auto"/>
            </w:tcBorders>
            <w:shd w:val="clear" w:color="auto" w:fill="auto"/>
            <w:noWrap/>
            <w:vAlign w:val="bottom"/>
            <w:hideMark/>
          </w:tcPr>
          <w:p w14:paraId="5750D2DA" w14:textId="77777777" w:rsidR="005B3BDD" w:rsidRPr="00284463" w:rsidRDefault="005B3BDD" w:rsidP="002153F7">
            <w:pPr>
              <w:rPr>
                <w:sz w:val="16"/>
                <w:szCs w:val="16"/>
                <w:lang w:val="cs-CZ"/>
              </w:rPr>
            </w:pPr>
            <w:r w:rsidRPr="00284463">
              <w:rPr>
                <w:sz w:val="16"/>
                <w:szCs w:val="16"/>
                <w:lang w:val="cs-CZ"/>
              </w:rPr>
              <w:t> </w:t>
            </w:r>
          </w:p>
        </w:tc>
        <w:tc>
          <w:tcPr>
            <w:tcW w:w="5163" w:type="dxa"/>
            <w:tcBorders>
              <w:top w:val="nil"/>
              <w:left w:val="nil"/>
              <w:bottom w:val="single" w:sz="4" w:space="0" w:color="auto"/>
              <w:right w:val="single" w:sz="8" w:space="0" w:color="auto"/>
            </w:tcBorders>
            <w:shd w:val="clear" w:color="auto" w:fill="auto"/>
            <w:noWrap/>
            <w:vAlign w:val="bottom"/>
            <w:hideMark/>
          </w:tcPr>
          <w:p w14:paraId="52B5CE6F" w14:textId="77777777" w:rsidR="005B3BDD" w:rsidRPr="00284463" w:rsidRDefault="005B3BDD" w:rsidP="002153F7">
            <w:pPr>
              <w:rPr>
                <w:sz w:val="16"/>
                <w:szCs w:val="16"/>
                <w:lang w:val="cs-CZ"/>
              </w:rPr>
            </w:pPr>
            <w:r w:rsidRPr="00284463">
              <w:rPr>
                <w:sz w:val="16"/>
                <w:szCs w:val="16"/>
                <w:lang w:val="cs-CZ"/>
              </w:rPr>
              <w:t>příplatky z pracovní pohotovost</w:t>
            </w:r>
          </w:p>
        </w:tc>
        <w:tc>
          <w:tcPr>
            <w:tcW w:w="992" w:type="dxa"/>
            <w:tcBorders>
              <w:top w:val="nil"/>
              <w:left w:val="nil"/>
              <w:bottom w:val="single" w:sz="4" w:space="0" w:color="auto"/>
              <w:right w:val="single" w:sz="4" w:space="0" w:color="auto"/>
            </w:tcBorders>
            <w:shd w:val="clear" w:color="auto" w:fill="auto"/>
            <w:noWrap/>
            <w:vAlign w:val="bottom"/>
            <w:hideMark/>
          </w:tcPr>
          <w:p w14:paraId="23BD5EFA" w14:textId="77777777" w:rsidR="005B3BDD" w:rsidRPr="00284463" w:rsidRDefault="005B3BDD" w:rsidP="002153F7">
            <w:pPr>
              <w:jc w:val="right"/>
              <w:rPr>
                <w:sz w:val="16"/>
                <w:szCs w:val="16"/>
                <w:lang w:val="cs-CZ"/>
              </w:rPr>
            </w:pPr>
            <w:r w:rsidRPr="00284463">
              <w:rPr>
                <w:sz w:val="16"/>
                <w:szCs w:val="16"/>
                <w:lang w:val="cs-CZ"/>
              </w:rPr>
              <w:t>197</w:t>
            </w:r>
          </w:p>
        </w:tc>
        <w:tc>
          <w:tcPr>
            <w:tcW w:w="851" w:type="dxa"/>
            <w:tcBorders>
              <w:top w:val="nil"/>
              <w:left w:val="nil"/>
              <w:bottom w:val="single" w:sz="4" w:space="0" w:color="auto"/>
              <w:right w:val="single" w:sz="4" w:space="0" w:color="auto"/>
            </w:tcBorders>
            <w:shd w:val="clear" w:color="auto" w:fill="auto"/>
            <w:noWrap/>
            <w:vAlign w:val="bottom"/>
            <w:hideMark/>
          </w:tcPr>
          <w:p w14:paraId="32F170D1" w14:textId="77777777" w:rsidR="005B3BDD" w:rsidRPr="00284463" w:rsidRDefault="005B3BDD" w:rsidP="002153F7">
            <w:pPr>
              <w:jc w:val="right"/>
              <w:rPr>
                <w:sz w:val="16"/>
                <w:szCs w:val="16"/>
                <w:lang w:val="cs-CZ"/>
              </w:rPr>
            </w:pPr>
            <w:r w:rsidRPr="00284463">
              <w:rPr>
                <w:sz w:val="16"/>
                <w:szCs w:val="16"/>
                <w:lang w:val="cs-CZ"/>
              </w:rPr>
              <w:t>154</w:t>
            </w:r>
          </w:p>
        </w:tc>
        <w:tc>
          <w:tcPr>
            <w:tcW w:w="918" w:type="dxa"/>
            <w:tcBorders>
              <w:top w:val="nil"/>
              <w:left w:val="nil"/>
              <w:bottom w:val="single" w:sz="4" w:space="0" w:color="auto"/>
              <w:right w:val="single" w:sz="8" w:space="0" w:color="auto"/>
            </w:tcBorders>
            <w:shd w:val="clear" w:color="auto" w:fill="auto"/>
            <w:noWrap/>
            <w:vAlign w:val="bottom"/>
            <w:hideMark/>
          </w:tcPr>
          <w:p w14:paraId="7381CD27" w14:textId="77777777" w:rsidR="005B3BDD" w:rsidRPr="00284463" w:rsidRDefault="005B3BDD" w:rsidP="002153F7">
            <w:pPr>
              <w:jc w:val="right"/>
              <w:rPr>
                <w:sz w:val="16"/>
                <w:szCs w:val="16"/>
                <w:lang w:val="cs-CZ"/>
              </w:rPr>
            </w:pPr>
            <w:r w:rsidRPr="00284463">
              <w:rPr>
                <w:sz w:val="16"/>
                <w:szCs w:val="16"/>
                <w:lang w:val="cs-CZ"/>
              </w:rPr>
              <w:t>43</w:t>
            </w:r>
          </w:p>
        </w:tc>
        <w:tc>
          <w:tcPr>
            <w:tcW w:w="569" w:type="dxa"/>
            <w:tcBorders>
              <w:top w:val="nil"/>
              <w:left w:val="nil"/>
              <w:bottom w:val="single" w:sz="4" w:space="0" w:color="auto"/>
              <w:right w:val="single" w:sz="8" w:space="0" w:color="auto"/>
            </w:tcBorders>
          </w:tcPr>
          <w:p w14:paraId="4148518E" w14:textId="77777777" w:rsidR="005B3BDD" w:rsidRPr="00284463" w:rsidRDefault="005B3BDD" w:rsidP="002153F7">
            <w:pPr>
              <w:jc w:val="right"/>
              <w:rPr>
                <w:sz w:val="16"/>
                <w:szCs w:val="16"/>
                <w:lang w:val="cs-CZ"/>
              </w:rPr>
            </w:pPr>
          </w:p>
        </w:tc>
      </w:tr>
      <w:tr w:rsidR="005B3BDD" w:rsidRPr="00284463" w14:paraId="47DE3B63" w14:textId="0E6D8630" w:rsidTr="005B3BDD">
        <w:trPr>
          <w:trHeight w:val="264"/>
        </w:trPr>
        <w:tc>
          <w:tcPr>
            <w:tcW w:w="664" w:type="dxa"/>
            <w:tcBorders>
              <w:top w:val="nil"/>
              <w:left w:val="single" w:sz="8" w:space="0" w:color="auto"/>
              <w:bottom w:val="single" w:sz="4" w:space="0" w:color="auto"/>
              <w:right w:val="single" w:sz="4" w:space="0" w:color="auto"/>
            </w:tcBorders>
            <w:shd w:val="clear" w:color="auto" w:fill="auto"/>
            <w:noWrap/>
            <w:vAlign w:val="bottom"/>
            <w:hideMark/>
          </w:tcPr>
          <w:p w14:paraId="31A32529" w14:textId="77777777" w:rsidR="005B3BDD" w:rsidRPr="00284463" w:rsidRDefault="005B3BDD" w:rsidP="002153F7">
            <w:pPr>
              <w:rPr>
                <w:sz w:val="16"/>
                <w:szCs w:val="16"/>
                <w:lang w:val="cs-CZ"/>
              </w:rPr>
            </w:pPr>
            <w:r w:rsidRPr="00284463">
              <w:rPr>
                <w:sz w:val="16"/>
                <w:szCs w:val="16"/>
                <w:lang w:val="cs-CZ"/>
              </w:rPr>
              <w:t> </w:t>
            </w:r>
          </w:p>
        </w:tc>
        <w:tc>
          <w:tcPr>
            <w:tcW w:w="5163" w:type="dxa"/>
            <w:tcBorders>
              <w:top w:val="nil"/>
              <w:left w:val="nil"/>
              <w:bottom w:val="single" w:sz="4" w:space="0" w:color="auto"/>
              <w:right w:val="single" w:sz="8" w:space="0" w:color="auto"/>
            </w:tcBorders>
            <w:shd w:val="clear" w:color="auto" w:fill="auto"/>
            <w:noWrap/>
            <w:vAlign w:val="bottom"/>
            <w:hideMark/>
          </w:tcPr>
          <w:p w14:paraId="5AD56EC2" w14:textId="77777777" w:rsidR="005B3BDD" w:rsidRPr="00284463" w:rsidRDefault="005B3BDD" w:rsidP="002153F7">
            <w:pPr>
              <w:rPr>
                <w:sz w:val="16"/>
                <w:szCs w:val="16"/>
                <w:lang w:val="cs-CZ"/>
              </w:rPr>
            </w:pPr>
            <w:r w:rsidRPr="00284463">
              <w:rPr>
                <w:sz w:val="16"/>
                <w:szCs w:val="16"/>
                <w:lang w:val="cs-CZ"/>
              </w:rPr>
              <w:t>odměny mimořádné, jubilejní a první odchod do důchodu</w:t>
            </w:r>
          </w:p>
        </w:tc>
        <w:tc>
          <w:tcPr>
            <w:tcW w:w="992" w:type="dxa"/>
            <w:tcBorders>
              <w:top w:val="nil"/>
              <w:left w:val="nil"/>
              <w:bottom w:val="single" w:sz="4" w:space="0" w:color="auto"/>
              <w:right w:val="single" w:sz="4" w:space="0" w:color="auto"/>
            </w:tcBorders>
            <w:shd w:val="clear" w:color="auto" w:fill="auto"/>
            <w:noWrap/>
            <w:vAlign w:val="bottom"/>
            <w:hideMark/>
          </w:tcPr>
          <w:p w14:paraId="4906F2A6" w14:textId="77777777" w:rsidR="005B3BDD" w:rsidRPr="00284463" w:rsidRDefault="005B3BDD" w:rsidP="002153F7">
            <w:pPr>
              <w:jc w:val="right"/>
              <w:rPr>
                <w:sz w:val="16"/>
                <w:szCs w:val="16"/>
                <w:lang w:val="cs-CZ"/>
              </w:rPr>
            </w:pPr>
            <w:r w:rsidRPr="00284463">
              <w:rPr>
                <w:sz w:val="16"/>
                <w:szCs w:val="16"/>
                <w:lang w:val="cs-CZ"/>
              </w:rPr>
              <w:t>764</w:t>
            </w:r>
          </w:p>
        </w:tc>
        <w:tc>
          <w:tcPr>
            <w:tcW w:w="851" w:type="dxa"/>
            <w:tcBorders>
              <w:top w:val="nil"/>
              <w:left w:val="nil"/>
              <w:bottom w:val="single" w:sz="4" w:space="0" w:color="auto"/>
              <w:right w:val="single" w:sz="4" w:space="0" w:color="auto"/>
            </w:tcBorders>
            <w:shd w:val="clear" w:color="auto" w:fill="auto"/>
            <w:noWrap/>
            <w:vAlign w:val="bottom"/>
            <w:hideMark/>
          </w:tcPr>
          <w:p w14:paraId="2A97B2E8" w14:textId="77777777" w:rsidR="005B3BDD" w:rsidRPr="00284463" w:rsidRDefault="005B3BDD" w:rsidP="002153F7">
            <w:pPr>
              <w:jc w:val="right"/>
              <w:rPr>
                <w:sz w:val="16"/>
                <w:szCs w:val="16"/>
                <w:lang w:val="cs-CZ"/>
              </w:rPr>
            </w:pPr>
            <w:r w:rsidRPr="00284463">
              <w:rPr>
                <w:sz w:val="16"/>
                <w:szCs w:val="16"/>
                <w:lang w:val="cs-CZ"/>
              </w:rPr>
              <w:t>1596</w:t>
            </w:r>
          </w:p>
        </w:tc>
        <w:tc>
          <w:tcPr>
            <w:tcW w:w="918" w:type="dxa"/>
            <w:tcBorders>
              <w:top w:val="nil"/>
              <w:left w:val="nil"/>
              <w:bottom w:val="single" w:sz="4" w:space="0" w:color="auto"/>
              <w:right w:val="single" w:sz="8" w:space="0" w:color="auto"/>
            </w:tcBorders>
            <w:shd w:val="clear" w:color="auto" w:fill="auto"/>
            <w:noWrap/>
            <w:vAlign w:val="bottom"/>
            <w:hideMark/>
          </w:tcPr>
          <w:p w14:paraId="18B737A4" w14:textId="77777777" w:rsidR="005B3BDD" w:rsidRPr="00284463" w:rsidRDefault="005B3BDD" w:rsidP="002153F7">
            <w:pPr>
              <w:jc w:val="right"/>
              <w:rPr>
                <w:color w:val="FF0000"/>
                <w:sz w:val="16"/>
                <w:szCs w:val="16"/>
                <w:lang w:val="cs-CZ"/>
              </w:rPr>
            </w:pPr>
            <w:r w:rsidRPr="00284463">
              <w:rPr>
                <w:color w:val="FF0000"/>
                <w:sz w:val="16"/>
                <w:szCs w:val="16"/>
                <w:lang w:val="cs-CZ"/>
              </w:rPr>
              <w:t>832</w:t>
            </w:r>
          </w:p>
        </w:tc>
        <w:tc>
          <w:tcPr>
            <w:tcW w:w="569" w:type="dxa"/>
            <w:tcBorders>
              <w:top w:val="nil"/>
              <w:left w:val="nil"/>
              <w:bottom w:val="single" w:sz="4" w:space="0" w:color="auto"/>
              <w:right w:val="single" w:sz="8" w:space="0" w:color="auto"/>
            </w:tcBorders>
          </w:tcPr>
          <w:p w14:paraId="1AC18B7F" w14:textId="77777777" w:rsidR="005B3BDD" w:rsidRPr="00284463" w:rsidRDefault="005B3BDD" w:rsidP="002153F7">
            <w:pPr>
              <w:jc w:val="right"/>
              <w:rPr>
                <w:color w:val="FF0000"/>
                <w:sz w:val="16"/>
                <w:szCs w:val="16"/>
                <w:lang w:val="cs-CZ"/>
              </w:rPr>
            </w:pPr>
          </w:p>
        </w:tc>
      </w:tr>
      <w:tr w:rsidR="005B3BDD" w:rsidRPr="00284463" w14:paraId="75420DDD" w14:textId="0E11597C" w:rsidTr="005B3BDD">
        <w:trPr>
          <w:trHeight w:val="276"/>
        </w:trPr>
        <w:tc>
          <w:tcPr>
            <w:tcW w:w="664" w:type="dxa"/>
            <w:tcBorders>
              <w:top w:val="nil"/>
              <w:left w:val="single" w:sz="8" w:space="0" w:color="auto"/>
              <w:bottom w:val="single" w:sz="8" w:space="0" w:color="auto"/>
              <w:right w:val="single" w:sz="4" w:space="0" w:color="auto"/>
            </w:tcBorders>
            <w:shd w:val="clear" w:color="auto" w:fill="auto"/>
            <w:noWrap/>
            <w:vAlign w:val="bottom"/>
            <w:hideMark/>
          </w:tcPr>
          <w:p w14:paraId="33991045" w14:textId="77777777" w:rsidR="005B3BDD" w:rsidRPr="00284463" w:rsidRDefault="005B3BDD" w:rsidP="002153F7">
            <w:pPr>
              <w:rPr>
                <w:sz w:val="16"/>
                <w:szCs w:val="16"/>
                <w:lang w:val="cs-CZ"/>
              </w:rPr>
            </w:pPr>
            <w:r w:rsidRPr="00284463">
              <w:rPr>
                <w:sz w:val="16"/>
                <w:szCs w:val="16"/>
                <w:lang w:val="cs-CZ"/>
              </w:rPr>
              <w:t> </w:t>
            </w:r>
          </w:p>
        </w:tc>
        <w:tc>
          <w:tcPr>
            <w:tcW w:w="5163" w:type="dxa"/>
            <w:tcBorders>
              <w:top w:val="nil"/>
              <w:left w:val="nil"/>
              <w:bottom w:val="single" w:sz="8" w:space="0" w:color="auto"/>
              <w:right w:val="single" w:sz="8" w:space="0" w:color="auto"/>
            </w:tcBorders>
            <w:shd w:val="clear" w:color="auto" w:fill="auto"/>
            <w:noWrap/>
            <w:vAlign w:val="bottom"/>
            <w:hideMark/>
          </w:tcPr>
          <w:p w14:paraId="1211EF9A" w14:textId="77777777" w:rsidR="005B3BDD" w:rsidRPr="00284463" w:rsidRDefault="005B3BDD" w:rsidP="002153F7">
            <w:pPr>
              <w:rPr>
                <w:sz w:val="16"/>
                <w:szCs w:val="16"/>
                <w:lang w:val="cs-CZ"/>
              </w:rPr>
            </w:pPr>
            <w:r w:rsidRPr="00284463">
              <w:rPr>
                <w:sz w:val="16"/>
                <w:szCs w:val="16"/>
                <w:lang w:val="cs-CZ"/>
              </w:rPr>
              <w:t>náhrady platu, doplatek do nesníženého platu (min. mzdy)</w:t>
            </w:r>
          </w:p>
        </w:tc>
        <w:tc>
          <w:tcPr>
            <w:tcW w:w="992" w:type="dxa"/>
            <w:tcBorders>
              <w:top w:val="nil"/>
              <w:left w:val="nil"/>
              <w:bottom w:val="single" w:sz="8" w:space="0" w:color="auto"/>
              <w:right w:val="single" w:sz="4" w:space="0" w:color="auto"/>
            </w:tcBorders>
            <w:shd w:val="clear" w:color="auto" w:fill="auto"/>
            <w:noWrap/>
            <w:vAlign w:val="bottom"/>
            <w:hideMark/>
          </w:tcPr>
          <w:p w14:paraId="552193D4" w14:textId="77777777" w:rsidR="005B3BDD" w:rsidRPr="00284463" w:rsidRDefault="005B3BDD" w:rsidP="002153F7">
            <w:pPr>
              <w:jc w:val="right"/>
              <w:rPr>
                <w:sz w:val="16"/>
                <w:szCs w:val="16"/>
                <w:lang w:val="cs-CZ"/>
              </w:rPr>
            </w:pPr>
            <w:r w:rsidRPr="00284463">
              <w:rPr>
                <w:sz w:val="16"/>
                <w:szCs w:val="16"/>
                <w:lang w:val="cs-CZ"/>
              </w:rPr>
              <w:t>1 041</w:t>
            </w:r>
          </w:p>
        </w:tc>
        <w:tc>
          <w:tcPr>
            <w:tcW w:w="851" w:type="dxa"/>
            <w:tcBorders>
              <w:top w:val="nil"/>
              <w:left w:val="nil"/>
              <w:bottom w:val="single" w:sz="8" w:space="0" w:color="auto"/>
              <w:right w:val="single" w:sz="4" w:space="0" w:color="auto"/>
            </w:tcBorders>
            <w:shd w:val="clear" w:color="auto" w:fill="auto"/>
            <w:noWrap/>
            <w:vAlign w:val="bottom"/>
            <w:hideMark/>
          </w:tcPr>
          <w:p w14:paraId="0430FE4A" w14:textId="77777777" w:rsidR="005B3BDD" w:rsidRPr="00284463" w:rsidRDefault="005B3BDD" w:rsidP="002153F7">
            <w:pPr>
              <w:jc w:val="right"/>
              <w:rPr>
                <w:sz w:val="16"/>
                <w:szCs w:val="16"/>
                <w:lang w:val="cs-CZ"/>
              </w:rPr>
            </w:pPr>
            <w:r w:rsidRPr="00284463">
              <w:rPr>
                <w:sz w:val="16"/>
                <w:szCs w:val="16"/>
                <w:lang w:val="cs-CZ"/>
              </w:rPr>
              <w:t>2 623</w:t>
            </w:r>
          </w:p>
        </w:tc>
        <w:tc>
          <w:tcPr>
            <w:tcW w:w="918" w:type="dxa"/>
            <w:tcBorders>
              <w:top w:val="nil"/>
              <w:left w:val="nil"/>
              <w:bottom w:val="single" w:sz="8" w:space="0" w:color="auto"/>
              <w:right w:val="single" w:sz="8" w:space="0" w:color="auto"/>
            </w:tcBorders>
            <w:shd w:val="clear" w:color="auto" w:fill="auto"/>
            <w:noWrap/>
            <w:vAlign w:val="bottom"/>
            <w:hideMark/>
          </w:tcPr>
          <w:p w14:paraId="6698214A" w14:textId="77777777" w:rsidR="005B3BDD" w:rsidRPr="00284463" w:rsidRDefault="005B3BDD" w:rsidP="002153F7">
            <w:pPr>
              <w:jc w:val="right"/>
              <w:rPr>
                <w:color w:val="FF0000"/>
                <w:sz w:val="16"/>
                <w:szCs w:val="16"/>
                <w:lang w:val="cs-CZ"/>
              </w:rPr>
            </w:pPr>
            <w:r w:rsidRPr="00284463">
              <w:rPr>
                <w:color w:val="FF0000"/>
                <w:sz w:val="16"/>
                <w:szCs w:val="16"/>
                <w:lang w:val="cs-CZ"/>
              </w:rPr>
              <w:t>1 582</w:t>
            </w:r>
          </w:p>
        </w:tc>
        <w:tc>
          <w:tcPr>
            <w:tcW w:w="569" w:type="dxa"/>
            <w:tcBorders>
              <w:top w:val="nil"/>
              <w:left w:val="nil"/>
              <w:bottom w:val="single" w:sz="8" w:space="0" w:color="auto"/>
              <w:right w:val="single" w:sz="8" w:space="0" w:color="auto"/>
            </w:tcBorders>
          </w:tcPr>
          <w:p w14:paraId="4AA2B56D" w14:textId="77777777" w:rsidR="005B3BDD" w:rsidRPr="00284463" w:rsidRDefault="005B3BDD" w:rsidP="002153F7">
            <w:pPr>
              <w:jc w:val="right"/>
              <w:rPr>
                <w:color w:val="FF0000"/>
                <w:sz w:val="16"/>
                <w:szCs w:val="16"/>
                <w:lang w:val="cs-CZ"/>
              </w:rPr>
            </w:pPr>
          </w:p>
        </w:tc>
      </w:tr>
    </w:tbl>
    <w:p w14:paraId="021ACC67" w14:textId="77777777" w:rsidR="002869DF" w:rsidRPr="00284463" w:rsidRDefault="002869DF" w:rsidP="002869DF">
      <w:pPr>
        <w:spacing w:before="120"/>
        <w:jc w:val="both"/>
        <w:rPr>
          <w:sz w:val="16"/>
          <w:szCs w:val="16"/>
          <w:lang w:val="cs-CZ"/>
        </w:rPr>
      </w:pPr>
      <w:r w:rsidRPr="00284463">
        <w:rPr>
          <w:sz w:val="16"/>
          <w:szCs w:val="16"/>
          <w:lang w:val="cs-CZ"/>
        </w:rPr>
        <w:t>Pozn.: Na tabulku je třeba nahlížet s ohledem na jiné právní prostředí u vojáků z povolání, občanských zaměstnanců a státních zaměstnanců (např. rozdíl v osobních příplatcích apod.)</w:t>
      </w:r>
    </w:p>
    <w:p w14:paraId="785D8CA7" w14:textId="4F68B63C" w:rsidR="002869DF" w:rsidRPr="00284463" w:rsidRDefault="002869DF" w:rsidP="005B3BDD">
      <w:pPr>
        <w:spacing w:before="120"/>
        <w:rPr>
          <w:sz w:val="22"/>
          <w:szCs w:val="22"/>
          <w:lang w:val="cs-CZ"/>
        </w:rPr>
      </w:pPr>
    </w:p>
    <w:p w14:paraId="175A8B10" w14:textId="77777777" w:rsidR="00A808A0" w:rsidRPr="00284463" w:rsidRDefault="00A808A0" w:rsidP="005B3BDD">
      <w:pPr>
        <w:spacing w:before="120"/>
        <w:rPr>
          <w:b/>
          <w:i/>
          <w:lang w:val="cs-CZ"/>
        </w:rPr>
      </w:pPr>
    </w:p>
    <w:p w14:paraId="7756C031" w14:textId="77777777" w:rsidR="00A808A0" w:rsidRPr="00284463" w:rsidRDefault="00A808A0" w:rsidP="005B3BDD">
      <w:pPr>
        <w:spacing w:before="120"/>
        <w:rPr>
          <w:b/>
          <w:i/>
          <w:lang w:val="cs-CZ"/>
        </w:rPr>
      </w:pPr>
    </w:p>
    <w:p w14:paraId="77CEFA09" w14:textId="77777777" w:rsidR="00A808A0" w:rsidRPr="00284463" w:rsidRDefault="00A808A0" w:rsidP="005B3BDD">
      <w:pPr>
        <w:spacing w:before="120"/>
        <w:rPr>
          <w:b/>
          <w:i/>
          <w:lang w:val="cs-CZ"/>
        </w:rPr>
      </w:pPr>
    </w:p>
    <w:p w14:paraId="5363167B" w14:textId="77777777" w:rsidR="00A808A0" w:rsidRPr="00284463" w:rsidRDefault="00A808A0" w:rsidP="005B3BDD">
      <w:pPr>
        <w:spacing w:before="120"/>
        <w:rPr>
          <w:b/>
          <w:i/>
          <w:lang w:val="cs-CZ"/>
        </w:rPr>
      </w:pPr>
    </w:p>
    <w:p w14:paraId="0F2CFF48" w14:textId="77777777" w:rsidR="00A808A0" w:rsidRPr="00284463" w:rsidRDefault="00A808A0" w:rsidP="005B3BDD">
      <w:pPr>
        <w:spacing w:before="120"/>
        <w:rPr>
          <w:b/>
          <w:i/>
          <w:lang w:val="cs-CZ"/>
        </w:rPr>
      </w:pPr>
    </w:p>
    <w:p w14:paraId="69DEE61B" w14:textId="77777777" w:rsidR="00A808A0" w:rsidRPr="00284463" w:rsidRDefault="00A808A0" w:rsidP="005B3BDD">
      <w:pPr>
        <w:spacing w:before="120"/>
        <w:rPr>
          <w:b/>
          <w:i/>
          <w:lang w:val="cs-CZ"/>
        </w:rPr>
      </w:pPr>
    </w:p>
    <w:p w14:paraId="448FAF13" w14:textId="1DE15DF9" w:rsidR="002869DF" w:rsidRPr="00284463" w:rsidRDefault="002869DF" w:rsidP="005B3BDD">
      <w:pPr>
        <w:spacing w:before="120"/>
        <w:rPr>
          <w:b/>
          <w:bCs/>
          <w:i/>
          <w:iCs/>
          <w:color w:val="000000"/>
          <w:lang w:val="cs-CZ"/>
        </w:rPr>
      </w:pPr>
      <w:r w:rsidRPr="00284463">
        <w:rPr>
          <w:b/>
          <w:i/>
          <w:lang w:val="cs-CZ"/>
        </w:rPr>
        <w:lastRenderedPageBreak/>
        <w:t>Vý</w:t>
      </w:r>
      <w:r w:rsidRPr="00284463">
        <w:rPr>
          <w:b/>
          <w:bCs/>
          <w:i/>
          <w:iCs/>
          <w:color w:val="000000"/>
          <w:lang w:val="cs-CZ"/>
        </w:rPr>
        <w:t>voj rozdílu mezi vyplaceným průměrným platem žen a mu</w:t>
      </w:r>
      <w:r w:rsidR="005B3BDD" w:rsidRPr="00284463">
        <w:rPr>
          <w:b/>
          <w:bCs/>
          <w:i/>
          <w:iCs/>
          <w:color w:val="000000"/>
          <w:lang w:val="cs-CZ"/>
        </w:rPr>
        <w:t>žů v rámci resortu MO za vybraná období</w:t>
      </w:r>
    </w:p>
    <w:p w14:paraId="573C3BED" w14:textId="77777777" w:rsidR="002869DF" w:rsidRPr="00284463" w:rsidRDefault="002869DF" w:rsidP="002869DF">
      <w:pPr>
        <w:spacing w:before="120"/>
        <w:jc w:val="center"/>
        <w:rPr>
          <w:sz w:val="16"/>
          <w:szCs w:val="16"/>
          <w:lang w:val="cs-CZ"/>
        </w:rPr>
      </w:pPr>
    </w:p>
    <w:p w14:paraId="3CD3CCA3" w14:textId="77777777" w:rsidR="002869DF" w:rsidRPr="00284463" w:rsidRDefault="002869DF" w:rsidP="002869DF">
      <w:pPr>
        <w:jc w:val="center"/>
        <w:rPr>
          <w:bCs/>
          <w:iCs/>
          <w:color w:val="000000"/>
          <w:lang w:val="cs-CZ"/>
        </w:rPr>
      </w:pPr>
      <w:r w:rsidRPr="00284463">
        <w:rPr>
          <w:noProof/>
          <w:lang w:val="cs-CZ" w:eastAsia="cs-CZ"/>
        </w:rPr>
        <w:drawing>
          <wp:inline distT="0" distB="0" distL="0" distR="0" wp14:anchorId="245E6561" wp14:editId="6416701D">
            <wp:extent cx="5577840" cy="2743200"/>
            <wp:effectExtent l="0" t="0" r="22860" b="1905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FF8AEDF" w14:textId="1D48EB85" w:rsidR="002869DF" w:rsidRPr="00284463" w:rsidRDefault="002869DF" w:rsidP="00C42789">
      <w:pPr>
        <w:snapToGrid w:val="0"/>
        <w:spacing w:line="276" w:lineRule="auto"/>
        <w:jc w:val="both"/>
        <w:rPr>
          <w:iCs/>
          <w:sz w:val="22"/>
          <w:szCs w:val="22"/>
          <w:lang w:val="cs-CZ"/>
        </w:rPr>
      </w:pPr>
    </w:p>
    <w:p w14:paraId="11801CAB" w14:textId="35A928F6" w:rsidR="002869DF" w:rsidRPr="00284463" w:rsidRDefault="002869DF" w:rsidP="00C42789">
      <w:pPr>
        <w:snapToGrid w:val="0"/>
        <w:spacing w:line="276" w:lineRule="auto"/>
        <w:jc w:val="both"/>
        <w:rPr>
          <w:iCs/>
          <w:sz w:val="22"/>
          <w:szCs w:val="22"/>
          <w:lang w:val="cs-CZ"/>
        </w:rPr>
      </w:pPr>
    </w:p>
    <w:p w14:paraId="1EA60DD5" w14:textId="3B4EA70E" w:rsidR="005B3BDD" w:rsidRPr="00284463" w:rsidRDefault="005B3BDD" w:rsidP="005B3BDD">
      <w:pPr>
        <w:pStyle w:val="Odstavecseseznamem"/>
        <w:numPr>
          <w:ilvl w:val="0"/>
          <w:numId w:val="29"/>
        </w:numPr>
        <w:jc w:val="both"/>
        <w:rPr>
          <w:b/>
          <w:u w:val="single"/>
          <w:lang w:val="cs-CZ"/>
        </w:rPr>
      </w:pPr>
      <w:r w:rsidRPr="00284463">
        <w:rPr>
          <w:b/>
          <w:u w:val="single"/>
          <w:lang w:val="cs-CZ"/>
        </w:rPr>
        <w:t>Gesce MV</w:t>
      </w:r>
    </w:p>
    <w:p w14:paraId="172DA2E2" w14:textId="77777777" w:rsidR="005B3BDD" w:rsidRPr="00284463" w:rsidRDefault="005B3BDD" w:rsidP="002869DF">
      <w:pPr>
        <w:jc w:val="both"/>
        <w:rPr>
          <w:lang w:val="cs-CZ"/>
        </w:rPr>
      </w:pPr>
    </w:p>
    <w:p w14:paraId="00298A09" w14:textId="185526C6" w:rsidR="002869DF" w:rsidRPr="00284463" w:rsidRDefault="002869DF" w:rsidP="002869DF">
      <w:pPr>
        <w:jc w:val="both"/>
        <w:rPr>
          <w:lang w:val="cs-CZ"/>
        </w:rPr>
      </w:pPr>
      <w:r w:rsidRPr="00284463">
        <w:rPr>
          <w:lang w:val="cs-CZ"/>
        </w:rPr>
        <w:t xml:space="preserve">MV je, shodně jako ostatní služební úřady, vázáno v otázce platů příslušnými právními předpisy, zejména zákonem o státní službě a zákonem č. 262/2006 Sb., zákoník práce, ve znění pozdějších předpisů; služební poměr příslušníků bezpečnostních sborů se pak řídí zákonem č. 361/2003 Sb., o služebním poměru příslušníků bezpečnostních sborů. </w:t>
      </w:r>
      <w:r w:rsidR="00284463" w:rsidRPr="00284463">
        <w:rPr>
          <w:lang w:val="cs-CZ"/>
        </w:rPr>
        <w:t xml:space="preserve">Platové poměry státních zaměstnanců, zaměstnanců v pracovním poměru i příslušníků bezpečnostních sborů se přitom odvíjejí od výše uvedených zákonů a navazujících právních předpisů zejména nařízení vlády č. 304/2014 Sb., o platových poměrech státních zaměstnanců, nařízení vlády č. 341/2017 Sb., o platových poměrech zaměstnanců </w:t>
      </w:r>
      <w:r w:rsidR="00284463">
        <w:rPr>
          <w:lang w:val="cs-CZ"/>
        </w:rPr>
        <w:t xml:space="preserve">ve veřejných službách a správě </w:t>
      </w:r>
      <w:r w:rsidR="00284463" w:rsidRPr="00284463">
        <w:rPr>
          <w:lang w:val="cs-CZ"/>
        </w:rPr>
        <w:t>a nařízení vlády č. 336/2019 Sb., kterým se stanoví stupnice základních tarifů pro příslušníky bezpečnostních sborů.</w:t>
      </w:r>
    </w:p>
    <w:p w14:paraId="3470FCCC" w14:textId="77777777" w:rsidR="005B3BDD" w:rsidRPr="00284463" w:rsidRDefault="005B3BDD" w:rsidP="002869DF">
      <w:pPr>
        <w:jc w:val="both"/>
        <w:rPr>
          <w:lang w:val="cs-CZ"/>
        </w:rPr>
      </w:pPr>
    </w:p>
    <w:p w14:paraId="44913DD2" w14:textId="2793AA38" w:rsidR="002869DF" w:rsidRPr="00284463" w:rsidRDefault="002869DF" w:rsidP="002869DF">
      <w:pPr>
        <w:jc w:val="both"/>
        <w:rPr>
          <w:lang w:val="cs-CZ"/>
        </w:rPr>
      </w:pPr>
      <w:r w:rsidRPr="00284463">
        <w:rPr>
          <w:lang w:val="cs-CZ"/>
        </w:rPr>
        <w:t>MV jakožto služební úřad se dále řídí platnou systemizací služebních a pracovních míst. Aktuální systemizace pracovních a slu</w:t>
      </w:r>
      <w:r w:rsidR="005B3BDD" w:rsidRPr="00284463">
        <w:rPr>
          <w:lang w:val="cs-CZ"/>
        </w:rPr>
        <w:t xml:space="preserve">žebních míst v MV je zveřejněna </w:t>
      </w:r>
      <w:r w:rsidRPr="00284463">
        <w:rPr>
          <w:lang w:val="cs-CZ"/>
        </w:rPr>
        <w:t>na i</w:t>
      </w:r>
      <w:r w:rsidR="005B3BDD" w:rsidRPr="00284463">
        <w:rPr>
          <w:lang w:val="cs-CZ"/>
        </w:rPr>
        <w:t xml:space="preserve">ntranetových stránkách rezortu. </w:t>
      </w:r>
      <w:r w:rsidRPr="00284463">
        <w:rPr>
          <w:lang w:val="cs-CZ"/>
        </w:rPr>
        <w:t>Platy státních zaměst</w:t>
      </w:r>
      <w:r w:rsidR="005B3BDD" w:rsidRPr="00284463">
        <w:rPr>
          <w:lang w:val="cs-CZ"/>
        </w:rPr>
        <w:t xml:space="preserve">nanců a státních zaměstnankyň, </w:t>
      </w:r>
      <w:r w:rsidRPr="00284463">
        <w:rPr>
          <w:lang w:val="cs-CZ"/>
        </w:rPr>
        <w:t>zaměstnanců a zaměstnankyň jsou vedeny a zpracovávány Ekonomickým informačním systémem MV. Anonymizované statistiky výše platů dle pohlaví na základě platových tříd (podle zákonů č. 262/2006 Sb., č. 234/2014 Sb. a č. 361/2003 Sb.) v MV jsou každoročně předávány Úřadu vlády jako součást Vyhodnocení plnění Vládní strategie pro rovnost žen a mužů v České republice na léta 2014 – 2020 a Akčního plánu pro rovnost žen a mužů na léta 2019 – 2020.</w:t>
      </w:r>
    </w:p>
    <w:p w14:paraId="12FD8579" w14:textId="77777777" w:rsidR="002869DF" w:rsidRPr="00284463" w:rsidRDefault="002869DF" w:rsidP="002869DF">
      <w:pPr>
        <w:jc w:val="both"/>
        <w:rPr>
          <w:lang w:val="cs-CZ"/>
        </w:rPr>
      </w:pPr>
    </w:p>
    <w:p w14:paraId="22F620D1" w14:textId="77777777" w:rsidR="002869DF" w:rsidRPr="00284463" w:rsidRDefault="002869DF" w:rsidP="002869DF">
      <w:pPr>
        <w:jc w:val="both"/>
        <w:rPr>
          <w:i/>
          <w:lang w:val="cs-CZ"/>
        </w:rPr>
      </w:pPr>
    </w:p>
    <w:p w14:paraId="5755ABB2" w14:textId="77777777" w:rsidR="002869DF" w:rsidRPr="00284463" w:rsidRDefault="002869DF" w:rsidP="002869DF">
      <w:pPr>
        <w:jc w:val="center"/>
        <w:rPr>
          <w:b/>
          <w:bCs/>
          <w:i/>
          <w:color w:val="000000"/>
          <w:lang w:val="cs-CZ"/>
        </w:rPr>
      </w:pPr>
      <w:r w:rsidRPr="00284463">
        <w:rPr>
          <w:b/>
          <w:bCs/>
          <w:i/>
          <w:color w:val="000000"/>
          <w:lang w:val="cs-CZ"/>
        </w:rPr>
        <w:t>Podíl mužů a žen v rámci Policie ČR k 31. 12. 2020</w:t>
      </w:r>
    </w:p>
    <w:tbl>
      <w:tblPr>
        <w:tblW w:w="3922" w:type="pct"/>
        <w:jc w:val="center"/>
        <w:tblCellMar>
          <w:left w:w="70" w:type="dxa"/>
          <w:right w:w="70" w:type="dxa"/>
        </w:tblCellMar>
        <w:tblLook w:val="04A0" w:firstRow="1" w:lastRow="0" w:firstColumn="1" w:lastColumn="0" w:noHBand="0" w:noVBand="1"/>
      </w:tblPr>
      <w:tblGrid>
        <w:gridCol w:w="1067"/>
        <w:gridCol w:w="842"/>
        <w:gridCol w:w="1143"/>
        <w:gridCol w:w="972"/>
        <w:gridCol w:w="52"/>
        <w:gridCol w:w="1072"/>
        <w:gridCol w:w="35"/>
        <w:gridCol w:w="939"/>
        <w:gridCol w:w="1102"/>
      </w:tblGrid>
      <w:tr w:rsidR="002869DF" w:rsidRPr="00284463" w14:paraId="31013FA5" w14:textId="77777777" w:rsidTr="002153F7">
        <w:trPr>
          <w:trHeight w:val="67"/>
          <w:jc w:val="center"/>
        </w:trPr>
        <w:tc>
          <w:tcPr>
            <w:tcW w:w="738"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0CA8A73B" w14:textId="77777777" w:rsidR="002869DF" w:rsidRPr="00284463" w:rsidRDefault="002869DF" w:rsidP="002153F7">
            <w:pPr>
              <w:rPr>
                <w:lang w:val="cs-CZ"/>
              </w:rPr>
            </w:pPr>
            <w:r w:rsidRPr="00284463">
              <w:rPr>
                <w:lang w:val="cs-CZ"/>
              </w:rPr>
              <w:t> </w:t>
            </w:r>
          </w:p>
        </w:tc>
        <w:tc>
          <w:tcPr>
            <w:tcW w:w="4262" w:type="pct"/>
            <w:gridSpan w:val="8"/>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D243490" w14:textId="77777777" w:rsidR="002869DF" w:rsidRPr="00284463" w:rsidRDefault="002869DF" w:rsidP="002153F7">
            <w:pPr>
              <w:jc w:val="center"/>
              <w:rPr>
                <w:lang w:val="cs-CZ"/>
              </w:rPr>
            </w:pPr>
            <w:r w:rsidRPr="00284463">
              <w:rPr>
                <w:lang w:val="cs-CZ"/>
              </w:rPr>
              <w:t>policisté/policistky</w:t>
            </w:r>
          </w:p>
        </w:tc>
      </w:tr>
      <w:tr w:rsidR="002869DF" w:rsidRPr="00284463" w14:paraId="16C3F918" w14:textId="77777777" w:rsidTr="002153F7">
        <w:trPr>
          <w:trHeight w:val="67"/>
          <w:jc w:val="center"/>
        </w:trPr>
        <w:tc>
          <w:tcPr>
            <w:tcW w:w="738" w:type="pct"/>
            <w:vMerge/>
            <w:tcBorders>
              <w:top w:val="single" w:sz="4" w:space="0" w:color="auto"/>
              <w:left w:val="single" w:sz="4" w:space="0" w:color="auto"/>
              <w:bottom w:val="single" w:sz="4" w:space="0" w:color="000000"/>
              <w:right w:val="nil"/>
            </w:tcBorders>
            <w:vAlign w:val="center"/>
            <w:hideMark/>
          </w:tcPr>
          <w:p w14:paraId="17F373C9" w14:textId="77777777" w:rsidR="002869DF" w:rsidRPr="00284463" w:rsidRDefault="002869DF" w:rsidP="002153F7">
            <w:pPr>
              <w:rPr>
                <w:lang w:val="cs-CZ"/>
              </w:rPr>
            </w:pPr>
          </w:p>
        </w:tc>
        <w:tc>
          <w:tcPr>
            <w:tcW w:w="1374" w:type="pct"/>
            <w:gridSpan w:val="2"/>
            <w:tcBorders>
              <w:top w:val="nil"/>
              <w:left w:val="single" w:sz="4" w:space="0" w:color="auto"/>
              <w:bottom w:val="single" w:sz="4" w:space="0" w:color="auto"/>
              <w:right w:val="single" w:sz="4" w:space="0" w:color="000000"/>
            </w:tcBorders>
            <w:shd w:val="clear" w:color="000000" w:fill="D9E1F2"/>
            <w:noWrap/>
            <w:vAlign w:val="bottom"/>
            <w:hideMark/>
          </w:tcPr>
          <w:p w14:paraId="71ADAD80" w14:textId="77777777" w:rsidR="002869DF" w:rsidRPr="00284463" w:rsidRDefault="002869DF" w:rsidP="002153F7">
            <w:pPr>
              <w:jc w:val="center"/>
              <w:rPr>
                <w:lang w:val="cs-CZ"/>
              </w:rPr>
            </w:pPr>
            <w:r w:rsidRPr="00284463">
              <w:rPr>
                <w:lang w:val="cs-CZ"/>
              </w:rPr>
              <w:t>s PV*</w:t>
            </w:r>
          </w:p>
        </w:tc>
        <w:tc>
          <w:tcPr>
            <w:tcW w:w="1451" w:type="pct"/>
            <w:gridSpan w:val="3"/>
            <w:tcBorders>
              <w:top w:val="nil"/>
              <w:left w:val="nil"/>
              <w:bottom w:val="single" w:sz="4" w:space="0" w:color="auto"/>
              <w:right w:val="single" w:sz="4" w:space="0" w:color="000000"/>
            </w:tcBorders>
            <w:shd w:val="clear" w:color="000000" w:fill="D9E1F2"/>
            <w:noWrap/>
            <w:vAlign w:val="center"/>
            <w:hideMark/>
          </w:tcPr>
          <w:p w14:paraId="2EE5EC48" w14:textId="77777777" w:rsidR="002869DF" w:rsidRPr="00284463" w:rsidRDefault="002869DF" w:rsidP="002153F7">
            <w:pPr>
              <w:jc w:val="center"/>
              <w:rPr>
                <w:lang w:val="cs-CZ"/>
              </w:rPr>
            </w:pPr>
            <w:r w:rsidRPr="00284463">
              <w:rPr>
                <w:lang w:val="cs-CZ"/>
              </w:rPr>
              <w:t>bez PV*</w:t>
            </w:r>
          </w:p>
        </w:tc>
        <w:tc>
          <w:tcPr>
            <w:tcW w:w="1437" w:type="pct"/>
            <w:gridSpan w:val="3"/>
            <w:tcBorders>
              <w:top w:val="single" w:sz="4" w:space="0" w:color="auto"/>
              <w:left w:val="nil"/>
              <w:bottom w:val="single" w:sz="4" w:space="0" w:color="auto"/>
              <w:right w:val="single" w:sz="4" w:space="0" w:color="000000"/>
            </w:tcBorders>
            <w:shd w:val="clear" w:color="000000" w:fill="D9E1F2"/>
            <w:noWrap/>
            <w:vAlign w:val="center"/>
            <w:hideMark/>
          </w:tcPr>
          <w:p w14:paraId="45A64578" w14:textId="77777777" w:rsidR="002869DF" w:rsidRPr="00284463" w:rsidRDefault="002869DF" w:rsidP="002153F7">
            <w:pPr>
              <w:jc w:val="center"/>
              <w:rPr>
                <w:lang w:val="cs-CZ"/>
              </w:rPr>
            </w:pPr>
            <w:r w:rsidRPr="00284463">
              <w:rPr>
                <w:lang w:val="cs-CZ"/>
              </w:rPr>
              <w:t>celkem</w:t>
            </w:r>
          </w:p>
        </w:tc>
      </w:tr>
      <w:tr w:rsidR="002869DF" w:rsidRPr="00284463" w14:paraId="5A6B61C7" w14:textId="77777777" w:rsidTr="002153F7">
        <w:trPr>
          <w:trHeight w:val="67"/>
          <w:jc w:val="center"/>
        </w:trPr>
        <w:tc>
          <w:tcPr>
            <w:tcW w:w="738" w:type="pct"/>
            <w:tcBorders>
              <w:top w:val="nil"/>
              <w:left w:val="single" w:sz="4" w:space="0" w:color="auto"/>
              <w:bottom w:val="single" w:sz="4" w:space="0" w:color="auto"/>
              <w:right w:val="nil"/>
            </w:tcBorders>
            <w:shd w:val="clear" w:color="auto" w:fill="auto"/>
            <w:noWrap/>
            <w:vAlign w:val="center"/>
            <w:hideMark/>
          </w:tcPr>
          <w:p w14:paraId="7737C1CA" w14:textId="77777777" w:rsidR="002869DF" w:rsidRPr="00284463" w:rsidRDefault="002869DF" w:rsidP="002153F7">
            <w:pPr>
              <w:rPr>
                <w:lang w:val="cs-CZ"/>
              </w:rPr>
            </w:pPr>
            <w:r w:rsidRPr="00284463">
              <w:rPr>
                <w:lang w:val="cs-CZ"/>
              </w:rPr>
              <w:t>muži</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31126BCD" w14:textId="77777777" w:rsidR="002869DF" w:rsidRPr="00284463" w:rsidRDefault="002869DF" w:rsidP="002153F7">
            <w:pPr>
              <w:jc w:val="center"/>
              <w:rPr>
                <w:lang w:val="cs-CZ"/>
              </w:rPr>
            </w:pPr>
            <w:r w:rsidRPr="00284463">
              <w:rPr>
                <w:lang w:val="cs-CZ"/>
              </w:rPr>
              <w:t>3 610</w:t>
            </w:r>
          </w:p>
        </w:tc>
        <w:tc>
          <w:tcPr>
            <w:tcW w:w="791" w:type="pct"/>
            <w:tcBorders>
              <w:top w:val="nil"/>
              <w:left w:val="nil"/>
              <w:bottom w:val="single" w:sz="4" w:space="0" w:color="auto"/>
              <w:right w:val="single" w:sz="4" w:space="0" w:color="auto"/>
            </w:tcBorders>
            <w:shd w:val="clear" w:color="auto" w:fill="auto"/>
            <w:noWrap/>
            <w:vAlign w:val="center"/>
            <w:hideMark/>
          </w:tcPr>
          <w:p w14:paraId="2ABE7669" w14:textId="77777777" w:rsidR="002869DF" w:rsidRPr="00284463" w:rsidRDefault="002869DF" w:rsidP="002153F7">
            <w:pPr>
              <w:jc w:val="center"/>
              <w:rPr>
                <w:lang w:val="cs-CZ"/>
              </w:rPr>
            </w:pPr>
            <w:r w:rsidRPr="00284463">
              <w:rPr>
                <w:lang w:val="cs-CZ"/>
              </w:rPr>
              <w:t>90,64 %</w:t>
            </w:r>
          </w:p>
        </w:tc>
        <w:tc>
          <w:tcPr>
            <w:tcW w:w="673" w:type="pct"/>
            <w:tcBorders>
              <w:top w:val="nil"/>
              <w:left w:val="nil"/>
              <w:bottom w:val="single" w:sz="4" w:space="0" w:color="auto"/>
              <w:right w:val="single" w:sz="4" w:space="0" w:color="auto"/>
            </w:tcBorders>
            <w:shd w:val="clear" w:color="auto" w:fill="auto"/>
            <w:noWrap/>
            <w:vAlign w:val="center"/>
            <w:hideMark/>
          </w:tcPr>
          <w:p w14:paraId="67D152F0" w14:textId="77777777" w:rsidR="002869DF" w:rsidRPr="00284463" w:rsidRDefault="002869DF" w:rsidP="002153F7">
            <w:pPr>
              <w:jc w:val="center"/>
              <w:rPr>
                <w:lang w:val="cs-CZ"/>
              </w:rPr>
            </w:pPr>
            <w:r w:rsidRPr="00284463">
              <w:rPr>
                <w:lang w:val="cs-CZ"/>
              </w:rPr>
              <w:t>30 169</w:t>
            </w:r>
          </w:p>
        </w:tc>
        <w:tc>
          <w:tcPr>
            <w:tcW w:w="778" w:type="pct"/>
            <w:gridSpan w:val="2"/>
            <w:tcBorders>
              <w:top w:val="nil"/>
              <w:left w:val="nil"/>
              <w:bottom w:val="single" w:sz="4" w:space="0" w:color="auto"/>
              <w:right w:val="single" w:sz="4" w:space="0" w:color="auto"/>
            </w:tcBorders>
            <w:shd w:val="clear" w:color="auto" w:fill="auto"/>
            <w:noWrap/>
            <w:vAlign w:val="center"/>
            <w:hideMark/>
          </w:tcPr>
          <w:p w14:paraId="6467B540" w14:textId="77777777" w:rsidR="002869DF" w:rsidRPr="00284463" w:rsidRDefault="002869DF" w:rsidP="002153F7">
            <w:pPr>
              <w:jc w:val="center"/>
              <w:rPr>
                <w:lang w:val="cs-CZ"/>
              </w:rPr>
            </w:pPr>
            <w:r w:rsidRPr="00284463">
              <w:rPr>
                <w:lang w:val="cs-CZ"/>
              </w:rPr>
              <w:t>82,7 %</w:t>
            </w:r>
          </w:p>
        </w:tc>
        <w:tc>
          <w:tcPr>
            <w:tcW w:w="674" w:type="pct"/>
            <w:gridSpan w:val="2"/>
            <w:tcBorders>
              <w:top w:val="nil"/>
              <w:left w:val="nil"/>
              <w:bottom w:val="single" w:sz="4" w:space="0" w:color="auto"/>
              <w:right w:val="single" w:sz="4" w:space="0" w:color="auto"/>
            </w:tcBorders>
            <w:shd w:val="clear" w:color="auto" w:fill="auto"/>
            <w:noWrap/>
            <w:vAlign w:val="center"/>
            <w:hideMark/>
          </w:tcPr>
          <w:p w14:paraId="79A13FF3" w14:textId="77777777" w:rsidR="002869DF" w:rsidRPr="00284463" w:rsidRDefault="002869DF" w:rsidP="002153F7">
            <w:pPr>
              <w:jc w:val="center"/>
              <w:rPr>
                <w:lang w:val="cs-CZ"/>
              </w:rPr>
            </w:pPr>
            <w:r w:rsidRPr="00284463">
              <w:rPr>
                <w:lang w:val="cs-CZ"/>
              </w:rPr>
              <w:t>33 779</w:t>
            </w:r>
          </w:p>
        </w:tc>
        <w:tc>
          <w:tcPr>
            <w:tcW w:w="763" w:type="pct"/>
            <w:tcBorders>
              <w:top w:val="nil"/>
              <w:left w:val="nil"/>
              <w:bottom w:val="single" w:sz="4" w:space="0" w:color="auto"/>
              <w:right w:val="single" w:sz="4" w:space="0" w:color="auto"/>
            </w:tcBorders>
            <w:shd w:val="clear" w:color="auto" w:fill="auto"/>
            <w:noWrap/>
            <w:vAlign w:val="center"/>
            <w:hideMark/>
          </w:tcPr>
          <w:p w14:paraId="3A1F361A" w14:textId="77777777" w:rsidR="002869DF" w:rsidRPr="00284463" w:rsidRDefault="002869DF" w:rsidP="002153F7">
            <w:pPr>
              <w:jc w:val="center"/>
              <w:rPr>
                <w:lang w:val="cs-CZ"/>
              </w:rPr>
            </w:pPr>
            <w:r w:rsidRPr="00284463">
              <w:rPr>
                <w:lang w:val="cs-CZ"/>
              </w:rPr>
              <w:t>83,45 %</w:t>
            </w:r>
          </w:p>
        </w:tc>
      </w:tr>
      <w:tr w:rsidR="002869DF" w:rsidRPr="00284463" w14:paraId="5D6CE334" w14:textId="77777777" w:rsidTr="002153F7">
        <w:trPr>
          <w:trHeight w:val="67"/>
          <w:jc w:val="center"/>
        </w:trPr>
        <w:tc>
          <w:tcPr>
            <w:tcW w:w="738" w:type="pct"/>
            <w:tcBorders>
              <w:top w:val="nil"/>
              <w:left w:val="single" w:sz="4" w:space="0" w:color="auto"/>
              <w:bottom w:val="nil"/>
              <w:right w:val="nil"/>
            </w:tcBorders>
            <w:shd w:val="clear" w:color="auto" w:fill="auto"/>
            <w:noWrap/>
            <w:vAlign w:val="center"/>
            <w:hideMark/>
          </w:tcPr>
          <w:p w14:paraId="6493036E" w14:textId="77777777" w:rsidR="002869DF" w:rsidRPr="00284463" w:rsidRDefault="002869DF" w:rsidP="002153F7">
            <w:pPr>
              <w:rPr>
                <w:lang w:val="cs-CZ"/>
              </w:rPr>
            </w:pPr>
            <w:r w:rsidRPr="00284463">
              <w:rPr>
                <w:lang w:val="cs-CZ"/>
              </w:rPr>
              <w:t>ženy</w:t>
            </w:r>
          </w:p>
        </w:tc>
        <w:tc>
          <w:tcPr>
            <w:tcW w:w="583" w:type="pct"/>
            <w:tcBorders>
              <w:top w:val="nil"/>
              <w:left w:val="single" w:sz="4" w:space="0" w:color="auto"/>
              <w:bottom w:val="nil"/>
              <w:right w:val="single" w:sz="4" w:space="0" w:color="auto"/>
            </w:tcBorders>
            <w:shd w:val="clear" w:color="auto" w:fill="auto"/>
            <w:noWrap/>
            <w:vAlign w:val="center"/>
            <w:hideMark/>
          </w:tcPr>
          <w:p w14:paraId="76F781A1" w14:textId="77777777" w:rsidR="002869DF" w:rsidRPr="00284463" w:rsidRDefault="002869DF" w:rsidP="002153F7">
            <w:pPr>
              <w:jc w:val="center"/>
              <w:rPr>
                <w:lang w:val="cs-CZ"/>
              </w:rPr>
            </w:pPr>
            <w:r w:rsidRPr="00284463">
              <w:rPr>
                <w:lang w:val="cs-CZ"/>
              </w:rPr>
              <w:t>373</w:t>
            </w:r>
          </w:p>
        </w:tc>
        <w:tc>
          <w:tcPr>
            <w:tcW w:w="791" w:type="pct"/>
            <w:tcBorders>
              <w:top w:val="nil"/>
              <w:left w:val="nil"/>
              <w:bottom w:val="nil"/>
              <w:right w:val="single" w:sz="4" w:space="0" w:color="auto"/>
            </w:tcBorders>
            <w:shd w:val="clear" w:color="auto" w:fill="auto"/>
            <w:noWrap/>
            <w:vAlign w:val="center"/>
            <w:hideMark/>
          </w:tcPr>
          <w:p w14:paraId="1034E232" w14:textId="77777777" w:rsidR="002869DF" w:rsidRPr="00284463" w:rsidRDefault="002869DF" w:rsidP="002153F7">
            <w:pPr>
              <w:jc w:val="center"/>
              <w:rPr>
                <w:lang w:val="cs-CZ"/>
              </w:rPr>
            </w:pPr>
            <w:r w:rsidRPr="00284463">
              <w:rPr>
                <w:lang w:val="cs-CZ"/>
              </w:rPr>
              <w:t>9,36 %</w:t>
            </w:r>
          </w:p>
        </w:tc>
        <w:tc>
          <w:tcPr>
            <w:tcW w:w="673" w:type="pct"/>
            <w:tcBorders>
              <w:top w:val="nil"/>
              <w:left w:val="nil"/>
              <w:bottom w:val="nil"/>
              <w:right w:val="single" w:sz="4" w:space="0" w:color="auto"/>
            </w:tcBorders>
            <w:shd w:val="clear" w:color="auto" w:fill="auto"/>
            <w:noWrap/>
            <w:vAlign w:val="center"/>
            <w:hideMark/>
          </w:tcPr>
          <w:p w14:paraId="57D6506F" w14:textId="77777777" w:rsidR="002869DF" w:rsidRPr="00284463" w:rsidRDefault="002869DF" w:rsidP="002153F7">
            <w:pPr>
              <w:jc w:val="center"/>
              <w:rPr>
                <w:lang w:val="cs-CZ"/>
              </w:rPr>
            </w:pPr>
            <w:r w:rsidRPr="00284463">
              <w:rPr>
                <w:lang w:val="cs-CZ"/>
              </w:rPr>
              <w:t>6 326</w:t>
            </w:r>
          </w:p>
        </w:tc>
        <w:tc>
          <w:tcPr>
            <w:tcW w:w="778" w:type="pct"/>
            <w:gridSpan w:val="2"/>
            <w:tcBorders>
              <w:top w:val="nil"/>
              <w:left w:val="nil"/>
              <w:bottom w:val="nil"/>
              <w:right w:val="single" w:sz="4" w:space="0" w:color="auto"/>
            </w:tcBorders>
            <w:shd w:val="clear" w:color="auto" w:fill="auto"/>
            <w:noWrap/>
            <w:vAlign w:val="center"/>
            <w:hideMark/>
          </w:tcPr>
          <w:p w14:paraId="53D89BF9" w14:textId="77777777" w:rsidR="002869DF" w:rsidRPr="00284463" w:rsidRDefault="002869DF" w:rsidP="002153F7">
            <w:pPr>
              <w:jc w:val="center"/>
              <w:rPr>
                <w:lang w:val="cs-CZ"/>
              </w:rPr>
            </w:pPr>
            <w:r w:rsidRPr="00284463">
              <w:rPr>
                <w:lang w:val="cs-CZ"/>
              </w:rPr>
              <w:t>17,3 %</w:t>
            </w:r>
          </w:p>
        </w:tc>
        <w:tc>
          <w:tcPr>
            <w:tcW w:w="674" w:type="pct"/>
            <w:gridSpan w:val="2"/>
            <w:tcBorders>
              <w:top w:val="nil"/>
              <w:left w:val="nil"/>
              <w:bottom w:val="nil"/>
              <w:right w:val="single" w:sz="4" w:space="0" w:color="auto"/>
            </w:tcBorders>
            <w:shd w:val="clear" w:color="auto" w:fill="auto"/>
            <w:noWrap/>
            <w:vAlign w:val="center"/>
            <w:hideMark/>
          </w:tcPr>
          <w:p w14:paraId="37E47DA5" w14:textId="77777777" w:rsidR="002869DF" w:rsidRPr="00284463" w:rsidRDefault="002869DF" w:rsidP="002153F7">
            <w:pPr>
              <w:jc w:val="center"/>
              <w:rPr>
                <w:lang w:val="cs-CZ"/>
              </w:rPr>
            </w:pPr>
            <w:r w:rsidRPr="00284463">
              <w:rPr>
                <w:lang w:val="cs-CZ"/>
              </w:rPr>
              <w:t>6 699</w:t>
            </w:r>
          </w:p>
        </w:tc>
        <w:tc>
          <w:tcPr>
            <w:tcW w:w="763" w:type="pct"/>
            <w:tcBorders>
              <w:top w:val="nil"/>
              <w:left w:val="nil"/>
              <w:bottom w:val="nil"/>
              <w:right w:val="single" w:sz="4" w:space="0" w:color="auto"/>
            </w:tcBorders>
            <w:shd w:val="clear" w:color="auto" w:fill="auto"/>
            <w:noWrap/>
            <w:vAlign w:val="center"/>
            <w:hideMark/>
          </w:tcPr>
          <w:p w14:paraId="53B4E2C8" w14:textId="77777777" w:rsidR="002869DF" w:rsidRPr="00284463" w:rsidRDefault="002869DF" w:rsidP="002153F7">
            <w:pPr>
              <w:jc w:val="center"/>
              <w:rPr>
                <w:lang w:val="cs-CZ"/>
              </w:rPr>
            </w:pPr>
            <w:r w:rsidRPr="00284463">
              <w:rPr>
                <w:lang w:val="cs-CZ"/>
              </w:rPr>
              <w:t>16,55 %</w:t>
            </w:r>
          </w:p>
        </w:tc>
      </w:tr>
      <w:tr w:rsidR="002869DF" w:rsidRPr="00284463" w14:paraId="633E595D" w14:textId="77777777" w:rsidTr="002153F7">
        <w:trPr>
          <w:trHeight w:val="67"/>
          <w:jc w:val="center"/>
        </w:trPr>
        <w:tc>
          <w:tcPr>
            <w:tcW w:w="738" w:type="pct"/>
            <w:tcBorders>
              <w:top w:val="single" w:sz="4" w:space="0" w:color="auto"/>
              <w:left w:val="single" w:sz="4" w:space="0" w:color="auto"/>
              <w:bottom w:val="single" w:sz="4" w:space="0" w:color="auto"/>
              <w:right w:val="nil"/>
            </w:tcBorders>
            <w:shd w:val="clear" w:color="auto" w:fill="auto"/>
            <w:noWrap/>
            <w:vAlign w:val="center"/>
            <w:hideMark/>
          </w:tcPr>
          <w:p w14:paraId="355525D9" w14:textId="77777777" w:rsidR="002869DF" w:rsidRPr="00284463" w:rsidRDefault="002869DF" w:rsidP="002153F7">
            <w:pPr>
              <w:rPr>
                <w:lang w:val="cs-CZ"/>
              </w:rPr>
            </w:pPr>
            <w:r w:rsidRPr="00284463">
              <w:rPr>
                <w:lang w:val="cs-CZ"/>
              </w:rPr>
              <w:t>Celkem</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9B526" w14:textId="77777777" w:rsidR="002869DF" w:rsidRPr="00284463" w:rsidRDefault="002869DF" w:rsidP="002153F7">
            <w:pPr>
              <w:jc w:val="center"/>
              <w:rPr>
                <w:lang w:val="cs-CZ"/>
              </w:rPr>
            </w:pPr>
            <w:r w:rsidRPr="00284463">
              <w:rPr>
                <w:lang w:val="cs-CZ"/>
              </w:rPr>
              <w:t>3 983</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09C738F1" w14:textId="77777777" w:rsidR="002869DF" w:rsidRPr="00284463" w:rsidRDefault="002869DF" w:rsidP="002153F7">
            <w:pPr>
              <w:jc w:val="center"/>
              <w:rPr>
                <w:lang w:val="cs-CZ"/>
              </w:rPr>
            </w:pPr>
            <w:r w:rsidRPr="00284463">
              <w:rPr>
                <w:lang w:val="cs-CZ"/>
              </w:rPr>
              <w:t>100,0 %</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14:paraId="3AE029A0" w14:textId="77777777" w:rsidR="002869DF" w:rsidRPr="00284463" w:rsidRDefault="002869DF" w:rsidP="002153F7">
            <w:pPr>
              <w:jc w:val="center"/>
              <w:rPr>
                <w:lang w:val="cs-CZ"/>
              </w:rPr>
            </w:pPr>
            <w:r w:rsidRPr="00284463">
              <w:rPr>
                <w:lang w:val="cs-CZ"/>
              </w:rPr>
              <w:t>36 495</w:t>
            </w:r>
          </w:p>
        </w:tc>
        <w:tc>
          <w:tcPr>
            <w:tcW w:w="77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A9C22E" w14:textId="77777777" w:rsidR="002869DF" w:rsidRPr="00284463" w:rsidRDefault="002869DF" w:rsidP="002153F7">
            <w:pPr>
              <w:jc w:val="center"/>
              <w:rPr>
                <w:lang w:val="cs-CZ"/>
              </w:rPr>
            </w:pPr>
            <w:r w:rsidRPr="00284463">
              <w:rPr>
                <w:lang w:val="cs-CZ"/>
              </w:rPr>
              <w:t>100,0 %</w:t>
            </w:r>
          </w:p>
        </w:tc>
        <w:tc>
          <w:tcPr>
            <w:tcW w:w="67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8B3D7F" w14:textId="77777777" w:rsidR="002869DF" w:rsidRPr="00284463" w:rsidRDefault="002869DF" w:rsidP="002153F7">
            <w:pPr>
              <w:jc w:val="center"/>
              <w:rPr>
                <w:lang w:val="cs-CZ"/>
              </w:rPr>
            </w:pPr>
            <w:r w:rsidRPr="00284463">
              <w:rPr>
                <w:lang w:val="cs-CZ"/>
              </w:rPr>
              <w:t>40 478</w:t>
            </w:r>
          </w:p>
        </w:tc>
        <w:tc>
          <w:tcPr>
            <w:tcW w:w="763" w:type="pct"/>
            <w:tcBorders>
              <w:top w:val="single" w:sz="4" w:space="0" w:color="auto"/>
              <w:left w:val="nil"/>
              <w:bottom w:val="single" w:sz="4" w:space="0" w:color="auto"/>
              <w:right w:val="single" w:sz="4" w:space="0" w:color="auto"/>
            </w:tcBorders>
            <w:shd w:val="clear" w:color="auto" w:fill="auto"/>
            <w:noWrap/>
            <w:vAlign w:val="center"/>
            <w:hideMark/>
          </w:tcPr>
          <w:p w14:paraId="5BC3025C" w14:textId="77777777" w:rsidR="002869DF" w:rsidRPr="00284463" w:rsidRDefault="002869DF" w:rsidP="002153F7">
            <w:pPr>
              <w:jc w:val="center"/>
              <w:rPr>
                <w:lang w:val="cs-CZ"/>
              </w:rPr>
            </w:pPr>
            <w:r w:rsidRPr="00284463">
              <w:rPr>
                <w:lang w:val="cs-CZ"/>
              </w:rPr>
              <w:t>100,0 %</w:t>
            </w:r>
          </w:p>
        </w:tc>
      </w:tr>
      <w:tr w:rsidR="002869DF" w:rsidRPr="00284463" w14:paraId="60488BE8" w14:textId="77777777" w:rsidTr="002153F7">
        <w:trPr>
          <w:trHeight w:val="143"/>
          <w:jc w:val="center"/>
        </w:trPr>
        <w:tc>
          <w:tcPr>
            <w:tcW w:w="2112" w:type="pct"/>
            <w:gridSpan w:val="3"/>
            <w:tcBorders>
              <w:top w:val="nil"/>
              <w:left w:val="nil"/>
              <w:bottom w:val="nil"/>
              <w:right w:val="nil"/>
            </w:tcBorders>
            <w:shd w:val="clear" w:color="auto" w:fill="auto"/>
            <w:noWrap/>
            <w:vAlign w:val="bottom"/>
            <w:hideMark/>
          </w:tcPr>
          <w:p w14:paraId="69F72BBC" w14:textId="77777777" w:rsidR="002869DF" w:rsidRPr="00284463" w:rsidRDefault="002869DF" w:rsidP="002153F7">
            <w:pPr>
              <w:rPr>
                <w:b/>
                <w:i/>
                <w:color w:val="000000"/>
                <w:lang w:val="cs-CZ"/>
              </w:rPr>
            </w:pPr>
            <w:r w:rsidRPr="00284463">
              <w:rPr>
                <w:b/>
                <w:color w:val="000000"/>
                <w:lang w:val="cs-CZ"/>
              </w:rPr>
              <w:lastRenderedPageBreak/>
              <w:t xml:space="preserve"> </w:t>
            </w:r>
            <w:r w:rsidRPr="00284463">
              <w:rPr>
                <w:b/>
                <w:i/>
                <w:color w:val="000000"/>
                <w:lang w:val="cs-CZ"/>
              </w:rPr>
              <w:t>PV - příplatek za vedení</w:t>
            </w:r>
          </w:p>
        </w:tc>
        <w:tc>
          <w:tcPr>
            <w:tcW w:w="673" w:type="pct"/>
            <w:tcBorders>
              <w:top w:val="nil"/>
              <w:left w:val="nil"/>
              <w:bottom w:val="nil"/>
              <w:right w:val="nil"/>
            </w:tcBorders>
            <w:shd w:val="clear" w:color="auto" w:fill="auto"/>
            <w:noWrap/>
            <w:vAlign w:val="bottom"/>
            <w:hideMark/>
          </w:tcPr>
          <w:p w14:paraId="4A55BB2A" w14:textId="77777777" w:rsidR="002869DF" w:rsidRPr="00284463" w:rsidRDefault="002869DF" w:rsidP="002153F7">
            <w:pPr>
              <w:rPr>
                <w:b/>
                <w:color w:val="000000"/>
                <w:lang w:val="cs-CZ"/>
              </w:rPr>
            </w:pPr>
          </w:p>
        </w:tc>
        <w:tc>
          <w:tcPr>
            <w:tcW w:w="778" w:type="pct"/>
            <w:gridSpan w:val="2"/>
            <w:tcBorders>
              <w:top w:val="nil"/>
              <w:left w:val="nil"/>
              <w:bottom w:val="nil"/>
              <w:right w:val="nil"/>
            </w:tcBorders>
            <w:shd w:val="clear" w:color="auto" w:fill="auto"/>
            <w:noWrap/>
            <w:vAlign w:val="bottom"/>
            <w:hideMark/>
          </w:tcPr>
          <w:p w14:paraId="55FA1B5D" w14:textId="77777777" w:rsidR="002869DF" w:rsidRPr="00284463" w:rsidRDefault="002869DF" w:rsidP="002153F7">
            <w:pPr>
              <w:rPr>
                <w:color w:val="000000"/>
                <w:lang w:val="cs-CZ"/>
              </w:rPr>
            </w:pPr>
          </w:p>
        </w:tc>
        <w:tc>
          <w:tcPr>
            <w:tcW w:w="674" w:type="pct"/>
            <w:gridSpan w:val="2"/>
            <w:tcBorders>
              <w:top w:val="nil"/>
              <w:left w:val="nil"/>
              <w:bottom w:val="nil"/>
              <w:right w:val="nil"/>
            </w:tcBorders>
            <w:shd w:val="clear" w:color="auto" w:fill="auto"/>
            <w:noWrap/>
            <w:vAlign w:val="bottom"/>
            <w:hideMark/>
          </w:tcPr>
          <w:p w14:paraId="76F8A835" w14:textId="77777777" w:rsidR="002869DF" w:rsidRPr="00284463" w:rsidRDefault="002869DF" w:rsidP="002153F7">
            <w:pPr>
              <w:rPr>
                <w:color w:val="000000"/>
                <w:lang w:val="cs-CZ"/>
              </w:rPr>
            </w:pPr>
          </w:p>
        </w:tc>
        <w:tc>
          <w:tcPr>
            <w:tcW w:w="763" w:type="pct"/>
            <w:tcBorders>
              <w:top w:val="nil"/>
              <w:left w:val="nil"/>
              <w:bottom w:val="nil"/>
              <w:right w:val="nil"/>
            </w:tcBorders>
            <w:shd w:val="clear" w:color="auto" w:fill="auto"/>
            <w:noWrap/>
            <w:vAlign w:val="bottom"/>
            <w:hideMark/>
          </w:tcPr>
          <w:p w14:paraId="3C59E8E6" w14:textId="77777777" w:rsidR="002869DF" w:rsidRPr="00284463" w:rsidRDefault="002869DF" w:rsidP="002153F7">
            <w:pPr>
              <w:rPr>
                <w:color w:val="000000"/>
                <w:lang w:val="cs-CZ"/>
              </w:rPr>
            </w:pPr>
          </w:p>
        </w:tc>
      </w:tr>
      <w:tr w:rsidR="002869DF" w:rsidRPr="00284463" w14:paraId="2AEBE156" w14:textId="77777777" w:rsidTr="002153F7">
        <w:trPr>
          <w:trHeight w:val="29"/>
          <w:jc w:val="center"/>
        </w:trPr>
        <w:tc>
          <w:tcPr>
            <w:tcW w:w="738" w:type="pct"/>
            <w:tcBorders>
              <w:top w:val="nil"/>
              <w:left w:val="nil"/>
              <w:bottom w:val="nil"/>
              <w:right w:val="nil"/>
            </w:tcBorders>
            <w:shd w:val="clear" w:color="auto" w:fill="auto"/>
            <w:noWrap/>
            <w:vAlign w:val="bottom"/>
            <w:hideMark/>
          </w:tcPr>
          <w:p w14:paraId="5A2C20A4" w14:textId="77777777" w:rsidR="002869DF" w:rsidRPr="00284463" w:rsidRDefault="002869DF" w:rsidP="002153F7">
            <w:pPr>
              <w:rPr>
                <w:lang w:val="cs-CZ"/>
              </w:rPr>
            </w:pPr>
          </w:p>
        </w:tc>
        <w:tc>
          <w:tcPr>
            <w:tcW w:w="583" w:type="pct"/>
            <w:tcBorders>
              <w:top w:val="nil"/>
              <w:left w:val="nil"/>
              <w:bottom w:val="nil"/>
              <w:right w:val="nil"/>
            </w:tcBorders>
            <w:shd w:val="clear" w:color="auto" w:fill="auto"/>
            <w:noWrap/>
            <w:vAlign w:val="bottom"/>
            <w:hideMark/>
          </w:tcPr>
          <w:p w14:paraId="69ED19DA" w14:textId="77777777" w:rsidR="002869DF" w:rsidRPr="00284463" w:rsidRDefault="002869DF" w:rsidP="002153F7">
            <w:pPr>
              <w:rPr>
                <w:lang w:val="cs-CZ"/>
              </w:rPr>
            </w:pPr>
          </w:p>
        </w:tc>
        <w:tc>
          <w:tcPr>
            <w:tcW w:w="791" w:type="pct"/>
            <w:tcBorders>
              <w:top w:val="nil"/>
              <w:left w:val="nil"/>
              <w:bottom w:val="nil"/>
              <w:right w:val="nil"/>
            </w:tcBorders>
            <w:shd w:val="clear" w:color="auto" w:fill="auto"/>
            <w:noWrap/>
            <w:vAlign w:val="bottom"/>
            <w:hideMark/>
          </w:tcPr>
          <w:p w14:paraId="4805BE13" w14:textId="77777777" w:rsidR="002869DF" w:rsidRPr="00284463" w:rsidRDefault="002869DF" w:rsidP="002153F7">
            <w:pPr>
              <w:rPr>
                <w:lang w:val="cs-CZ"/>
              </w:rPr>
            </w:pPr>
          </w:p>
        </w:tc>
        <w:tc>
          <w:tcPr>
            <w:tcW w:w="673" w:type="pct"/>
            <w:tcBorders>
              <w:top w:val="nil"/>
              <w:left w:val="nil"/>
              <w:bottom w:val="nil"/>
              <w:right w:val="nil"/>
            </w:tcBorders>
            <w:shd w:val="clear" w:color="auto" w:fill="auto"/>
            <w:noWrap/>
            <w:vAlign w:val="bottom"/>
            <w:hideMark/>
          </w:tcPr>
          <w:p w14:paraId="1F59BEBD" w14:textId="77777777" w:rsidR="002869DF" w:rsidRPr="00284463" w:rsidRDefault="002869DF" w:rsidP="002153F7">
            <w:pPr>
              <w:rPr>
                <w:lang w:val="cs-CZ"/>
              </w:rPr>
            </w:pPr>
          </w:p>
        </w:tc>
        <w:tc>
          <w:tcPr>
            <w:tcW w:w="778" w:type="pct"/>
            <w:gridSpan w:val="2"/>
            <w:tcBorders>
              <w:top w:val="nil"/>
              <w:left w:val="nil"/>
              <w:bottom w:val="nil"/>
              <w:right w:val="nil"/>
            </w:tcBorders>
            <w:shd w:val="clear" w:color="auto" w:fill="auto"/>
            <w:noWrap/>
            <w:vAlign w:val="bottom"/>
            <w:hideMark/>
          </w:tcPr>
          <w:p w14:paraId="50F71859" w14:textId="77777777" w:rsidR="002869DF" w:rsidRPr="00284463" w:rsidRDefault="002869DF" w:rsidP="002153F7">
            <w:pPr>
              <w:rPr>
                <w:lang w:val="cs-CZ"/>
              </w:rPr>
            </w:pPr>
          </w:p>
        </w:tc>
        <w:tc>
          <w:tcPr>
            <w:tcW w:w="674" w:type="pct"/>
            <w:gridSpan w:val="2"/>
            <w:tcBorders>
              <w:top w:val="nil"/>
              <w:left w:val="nil"/>
              <w:bottom w:val="nil"/>
              <w:right w:val="nil"/>
            </w:tcBorders>
            <w:shd w:val="clear" w:color="auto" w:fill="auto"/>
            <w:noWrap/>
            <w:vAlign w:val="bottom"/>
            <w:hideMark/>
          </w:tcPr>
          <w:p w14:paraId="326DF74F" w14:textId="77777777" w:rsidR="002869DF" w:rsidRPr="00284463" w:rsidRDefault="002869DF" w:rsidP="002153F7">
            <w:pPr>
              <w:rPr>
                <w:lang w:val="cs-CZ"/>
              </w:rPr>
            </w:pPr>
          </w:p>
        </w:tc>
        <w:tc>
          <w:tcPr>
            <w:tcW w:w="763" w:type="pct"/>
            <w:tcBorders>
              <w:top w:val="nil"/>
              <w:left w:val="nil"/>
              <w:bottom w:val="nil"/>
              <w:right w:val="nil"/>
            </w:tcBorders>
            <w:shd w:val="clear" w:color="auto" w:fill="auto"/>
            <w:noWrap/>
            <w:vAlign w:val="bottom"/>
            <w:hideMark/>
          </w:tcPr>
          <w:p w14:paraId="3FB55788" w14:textId="77777777" w:rsidR="002869DF" w:rsidRPr="00284463" w:rsidRDefault="002869DF" w:rsidP="002153F7">
            <w:pPr>
              <w:rPr>
                <w:lang w:val="cs-CZ"/>
              </w:rPr>
            </w:pPr>
          </w:p>
        </w:tc>
      </w:tr>
      <w:tr w:rsidR="002869DF" w:rsidRPr="00284463" w14:paraId="5E3500D7" w14:textId="77777777" w:rsidTr="002153F7">
        <w:trPr>
          <w:trHeight w:val="67"/>
          <w:jc w:val="center"/>
        </w:trPr>
        <w:tc>
          <w:tcPr>
            <w:tcW w:w="738"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36306D6B" w14:textId="77777777" w:rsidR="002869DF" w:rsidRPr="00284463" w:rsidRDefault="002869DF" w:rsidP="002153F7">
            <w:pPr>
              <w:rPr>
                <w:lang w:val="cs-CZ"/>
              </w:rPr>
            </w:pPr>
            <w:r w:rsidRPr="00284463">
              <w:rPr>
                <w:lang w:val="cs-CZ"/>
              </w:rPr>
              <w:t> </w:t>
            </w:r>
          </w:p>
        </w:tc>
        <w:tc>
          <w:tcPr>
            <w:tcW w:w="4262" w:type="pct"/>
            <w:gridSpan w:val="8"/>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7AE27F27" w14:textId="77777777" w:rsidR="002869DF" w:rsidRPr="00284463" w:rsidRDefault="002869DF" w:rsidP="002153F7">
            <w:pPr>
              <w:jc w:val="center"/>
              <w:rPr>
                <w:lang w:val="cs-CZ"/>
              </w:rPr>
            </w:pPr>
            <w:r w:rsidRPr="00284463">
              <w:rPr>
                <w:lang w:val="cs-CZ"/>
              </w:rPr>
              <w:t>zaměstnanci/zaměstnankyně</w:t>
            </w:r>
          </w:p>
        </w:tc>
      </w:tr>
      <w:tr w:rsidR="002869DF" w:rsidRPr="00284463" w14:paraId="1BBD8420" w14:textId="77777777" w:rsidTr="002153F7">
        <w:trPr>
          <w:trHeight w:val="67"/>
          <w:jc w:val="center"/>
        </w:trPr>
        <w:tc>
          <w:tcPr>
            <w:tcW w:w="738" w:type="pct"/>
            <w:vMerge/>
            <w:tcBorders>
              <w:top w:val="single" w:sz="4" w:space="0" w:color="auto"/>
              <w:left w:val="single" w:sz="4" w:space="0" w:color="auto"/>
              <w:bottom w:val="single" w:sz="4" w:space="0" w:color="000000"/>
              <w:right w:val="single" w:sz="4" w:space="0" w:color="auto"/>
            </w:tcBorders>
            <w:vAlign w:val="center"/>
            <w:hideMark/>
          </w:tcPr>
          <w:p w14:paraId="326E13BE" w14:textId="77777777" w:rsidR="002869DF" w:rsidRPr="00284463" w:rsidRDefault="002869DF" w:rsidP="002153F7">
            <w:pPr>
              <w:rPr>
                <w:lang w:val="cs-CZ"/>
              </w:rPr>
            </w:pPr>
          </w:p>
        </w:tc>
        <w:tc>
          <w:tcPr>
            <w:tcW w:w="1374" w:type="pct"/>
            <w:gridSpan w:val="2"/>
            <w:tcBorders>
              <w:top w:val="nil"/>
              <w:left w:val="single" w:sz="4" w:space="0" w:color="auto"/>
              <w:bottom w:val="single" w:sz="4" w:space="0" w:color="auto"/>
              <w:right w:val="single" w:sz="4" w:space="0" w:color="000000"/>
            </w:tcBorders>
            <w:shd w:val="clear" w:color="000000" w:fill="FCE4D6"/>
            <w:noWrap/>
            <w:vAlign w:val="center"/>
            <w:hideMark/>
          </w:tcPr>
          <w:p w14:paraId="43F83F7B" w14:textId="77777777" w:rsidR="002869DF" w:rsidRPr="00284463" w:rsidRDefault="002869DF" w:rsidP="002153F7">
            <w:pPr>
              <w:jc w:val="center"/>
              <w:rPr>
                <w:lang w:val="cs-CZ"/>
              </w:rPr>
            </w:pPr>
            <w:r w:rsidRPr="00284463">
              <w:rPr>
                <w:lang w:val="cs-CZ"/>
              </w:rPr>
              <w:t>s PV*</w:t>
            </w:r>
          </w:p>
        </w:tc>
        <w:tc>
          <w:tcPr>
            <w:tcW w:w="1475" w:type="pct"/>
            <w:gridSpan w:val="4"/>
            <w:tcBorders>
              <w:top w:val="nil"/>
              <w:left w:val="nil"/>
              <w:bottom w:val="single" w:sz="4" w:space="0" w:color="auto"/>
              <w:right w:val="single" w:sz="4" w:space="0" w:color="000000"/>
            </w:tcBorders>
            <w:shd w:val="clear" w:color="000000" w:fill="FCE4D6"/>
            <w:noWrap/>
            <w:vAlign w:val="center"/>
            <w:hideMark/>
          </w:tcPr>
          <w:p w14:paraId="25A83B42" w14:textId="77777777" w:rsidR="002869DF" w:rsidRPr="00284463" w:rsidRDefault="002869DF" w:rsidP="002153F7">
            <w:pPr>
              <w:jc w:val="center"/>
              <w:rPr>
                <w:lang w:val="cs-CZ"/>
              </w:rPr>
            </w:pPr>
            <w:r w:rsidRPr="00284463">
              <w:rPr>
                <w:lang w:val="cs-CZ"/>
              </w:rPr>
              <w:t>bez PV*</w:t>
            </w:r>
          </w:p>
        </w:tc>
        <w:tc>
          <w:tcPr>
            <w:tcW w:w="1413" w:type="pct"/>
            <w:gridSpan w:val="2"/>
            <w:tcBorders>
              <w:top w:val="single" w:sz="4" w:space="0" w:color="auto"/>
              <w:left w:val="nil"/>
              <w:bottom w:val="single" w:sz="4" w:space="0" w:color="auto"/>
              <w:right w:val="single" w:sz="4" w:space="0" w:color="000000"/>
            </w:tcBorders>
            <w:shd w:val="clear" w:color="000000" w:fill="FCE4D6"/>
            <w:noWrap/>
            <w:vAlign w:val="center"/>
            <w:hideMark/>
          </w:tcPr>
          <w:p w14:paraId="41F62A31" w14:textId="77777777" w:rsidR="002869DF" w:rsidRPr="00284463" w:rsidRDefault="002869DF" w:rsidP="002153F7">
            <w:pPr>
              <w:jc w:val="center"/>
              <w:rPr>
                <w:lang w:val="cs-CZ"/>
              </w:rPr>
            </w:pPr>
            <w:r w:rsidRPr="00284463">
              <w:rPr>
                <w:lang w:val="cs-CZ"/>
              </w:rPr>
              <w:t>celkem</w:t>
            </w:r>
          </w:p>
        </w:tc>
      </w:tr>
      <w:tr w:rsidR="002869DF" w:rsidRPr="00284463" w14:paraId="399C5A17" w14:textId="77777777" w:rsidTr="002153F7">
        <w:trPr>
          <w:trHeight w:val="67"/>
          <w:jc w:val="center"/>
        </w:trPr>
        <w:tc>
          <w:tcPr>
            <w:tcW w:w="738" w:type="pct"/>
            <w:tcBorders>
              <w:top w:val="nil"/>
              <w:left w:val="single" w:sz="4" w:space="0" w:color="auto"/>
              <w:bottom w:val="single" w:sz="4" w:space="0" w:color="auto"/>
              <w:right w:val="nil"/>
            </w:tcBorders>
            <w:shd w:val="clear" w:color="auto" w:fill="auto"/>
            <w:noWrap/>
            <w:vAlign w:val="center"/>
            <w:hideMark/>
          </w:tcPr>
          <w:p w14:paraId="50828FCC" w14:textId="77777777" w:rsidR="002869DF" w:rsidRPr="00284463" w:rsidRDefault="002869DF" w:rsidP="002153F7">
            <w:pPr>
              <w:rPr>
                <w:lang w:val="cs-CZ"/>
              </w:rPr>
            </w:pPr>
            <w:r w:rsidRPr="00284463">
              <w:rPr>
                <w:lang w:val="cs-CZ"/>
              </w:rPr>
              <w:t>muži</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3BD36C96" w14:textId="77777777" w:rsidR="002869DF" w:rsidRPr="00284463" w:rsidRDefault="002869DF" w:rsidP="002153F7">
            <w:pPr>
              <w:jc w:val="center"/>
              <w:rPr>
                <w:lang w:val="cs-CZ"/>
              </w:rPr>
            </w:pPr>
            <w:r w:rsidRPr="00284463">
              <w:rPr>
                <w:lang w:val="cs-CZ"/>
              </w:rPr>
              <w:t>247</w:t>
            </w:r>
          </w:p>
        </w:tc>
        <w:tc>
          <w:tcPr>
            <w:tcW w:w="791" w:type="pct"/>
            <w:tcBorders>
              <w:top w:val="nil"/>
              <w:left w:val="nil"/>
              <w:bottom w:val="single" w:sz="4" w:space="0" w:color="auto"/>
              <w:right w:val="single" w:sz="4" w:space="0" w:color="auto"/>
            </w:tcBorders>
            <w:shd w:val="clear" w:color="auto" w:fill="auto"/>
            <w:noWrap/>
            <w:vAlign w:val="center"/>
            <w:hideMark/>
          </w:tcPr>
          <w:p w14:paraId="38F98A6A" w14:textId="77777777" w:rsidR="002869DF" w:rsidRPr="00284463" w:rsidRDefault="002869DF" w:rsidP="002153F7">
            <w:pPr>
              <w:jc w:val="center"/>
              <w:rPr>
                <w:lang w:val="cs-CZ"/>
              </w:rPr>
            </w:pPr>
            <w:r w:rsidRPr="00284463">
              <w:rPr>
                <w:lang w:val="cs-CZ"/>
              </w:rPr>
              <w:t>60,2 %</w:t>
            </w:r>
          </w:p>
        </w:tc>
        <w:tc>
          <w:tcPr>
            <w:tcW w:w="709" w:type="pct"/>
            <w:gridSpan w:val="2"/>
            <w:tcBorders>
              <w:top w:val="nil"/>
              <w:left w:val="nil"/>
              <w:bottom w:val="single" w:sz="4" w:space="0" w:color="auto"/>
              <w:right w:val="single" w:sz="4" w:space="0" w:color="auto"/>
            </w:tcBorders>
            <w:shd w:val="clear" w:color="auto" w:fill="auto"/>
            <w:noWrap/>
            <w:vAlign w:val="center"/>
            <w:hideMark/>
          </w:tcPr>
          <w:p w14:paraId="583FC8C4" w14:textId="77777777" w:rsidR="002869DF" w:rsidRPr="00284463" w:rsidRDefault="002869DF" w:rsidP="002153F7">
            <w:pPr>
              <w:jc w:val="center"/>
              <w:rPr>
                <w:lang w:val="cs-CZ"/>
              </w:rPr>
            </w:pPr>
            <w:r w:rsidRPr="00284463">
              <w:rPr>
                <w:lang w:val="cs-CZ"/>
              </w:rPr>
              <w:t>3 362</w:t>
            </w:r>
          </w:p>
        </w:tc>
        <w:tc>
          <w:tcPr>
            <w:tcW w:w="766" w:type="pct"/>
            <w:gridSpan w:val="2"/>
            <w:tcBorders>
              <w:top w:val="nil"/>
              <w:left w:val="nil"/>
              <w:bottom w:val="single" w:sz="4" w:space="0" w:color="auto"/>
              <w:right w:val="single" w:sz="4" w:space="0" w:color="auto"/>
            </w:tcBorders>
            <w:shd w:val="clear" w:color="auto" w:fill="auto"/>
            <w:noWrap/>
            <w:vAlign w:val="center"/>
            <w:hideMark/>
          </w:tcPr>
          <w:p w14:paraId="2205F340" w14:textId="77777777" w:rsidR="002869DF" w:rsidRPr="00284463" w:rsidRDefault="002869DF" w:rsidP="002153F7">
            <w:pPr>
              <w:jc w:val="center"/>
              <w:rPr>
                <w:lang w:val="cs-CZ"/>
              </w:rPr>
            </w:pPr>
            <w:r w:rsidRPr="00284463">
              <w:rPr>
                <w:lang w:val="cs-CZ"/>
              </w:rPr>
              <w:t>35,6 %</w:t>
            </w:r>
          </w:p>
        </w:tc>
        <w:tc>
          <w:tcPr>
            <w:tcW w:w="650" w:type="pct"/>
            <w:tcBorders>
              <w:top w:val="nil"/>
              <w:left w:val="nil"/>
              <w:bottom w:val="single" w:sz="4" w:space="0" w:color="auto"/>
              <w:right w:val="single" w:sz="4" w:space="0" w:color="auto"/>
            </w:tcBorders>
            <w:shd w:val="clear" w:color="auto" w:fill="auto"/>
            <w:noWrap/>
            <w:vAlign w:val="center"/>
            <w:hideMark/>
          </w:tcPr>
          <w:p w14:paraId="5951B53E" w14:textId="77777777" w:rsidR="002869DF" w:rsidRPr="00284463" w:rsidRDefault="002869DF" w:rsidP="002153F7">
            <w:pPr>
              <w:jc w:val="center"/>
              <w:rPr>
                <w:lang w:val="cs-CZ"/>
              </w:rPr>
            </w:pPr>
            <w:r w:rsidRPr="00284463">
              <w:rPr>
                <w:lang w:val="cs-CZ"/>
              </w:rPr>
              <w:t>3 609</w:t>
            </w:r>
          </w:p>
        </w:tc>
        <w:tc>
          <w:tcPr>
            <w:tcW w:w="763" w:type="pct"/>
            <w:tcBorders>
              <w:top w:val="nil"/>
              <w:left w:val="nil"/>
              <w:bottom w:val="single" w:sz="4" w:space="0" w:color="auto"/>
              <w:right w:val="single" w:sz="4" w:space="0" w:color="auto"/>
            </w:tcBorders>
            <w:shd w:val="clear" w:color="auto" w:fill="auto"/>
            <w:noWrap/>
            <w:vAlign w:val="center"/>
            <w:hideMark/>
          </w:tcPr>
          <w:p w14:paraId="2EA2E0F1" w14:textId="77777777" w:rsidR="002869DF" w:rsidRPr="00284463" w:rsidRDefault="002869DF" w:rsidP="002153F7">
            <w:pPr>
              <w:jc w:val="center"/>
              <w:rPr>
                <w:lang w:val="cs-CZ"/>
              </w:rPr>
            </w:pPr>
            <w:r w:rsidRPr="00284463">
              <w:rPr>
                <w:lang w:val="cs-CZ"/>
              </w:rPr>
              <w:t>36,65 %</w:t>
            </w:r>
          </w:p>
        </w:tc>
      </w:tr>
      <w:tr w:rsidR="002869DF" w:rsidRPr="00284463" w14:paraId="5A7E1EB0" w14:textId="77777777" w:rsidTr="002153F7">
        <w:trPr>
          <w:trHeight w:val="67"/>
          <w:jc w:val="center"/>
        </w:trPr>
        <w:tc>
          <w:tcPr>
            <w:tcW w:w="738" w:type="pct"/>
            <w:tcBorders>
              <w:top w:val="nil"/>
              <w:left w:val="single" w:sz="4" w:space="0" w:color="auto"/>
              <w:bottom w:val="nil"/>
              <w:right w:val="nil"/>
            </w:tcBorders>
            <w:shd w:val="clear" w:color="auto" w:fill="auto"/>
            <w:noWrap/>
            <w:vAlign w:val="center"/>
            <w:hideMark/>
          </w:tcPr>
          <w:p w14:paraId="3E38E458" w14:textId="77777777" w:rsidR="002869DF" w:rsidRPr="00284463" w:rsidRDefault="002869DF" w:rsidP="002153F7">
            <w:pPr>
              <w:rPr>
                <w:lang w:val="cs-CZ"/>
              </w:rPr>
            </w:pPr>
            <w:r w:rsidRPr="00284463">
              <w:rPr>
                <w:lang w:val="cs-CZ"/>
              </w:rPr>
              <w:t>ženy</w:t>
            </w:r>
          </w:p>
        </w:tc>
        <w:tc>
          <w:tcPr>
            <w:tcW w:w="583" w:type="pct"/>
            <w:tcBorders>
              <w:top w:val="nil"/>
              <w:left w:val="single" w:sz="4" w:space="0" w:color="auto"/>
              <w:bottom w:val="nil"/>
              <w:right w:val="single" w:sz="4" w:space="0" w:color="auto"/>
            </w:tcBorders>
            <w:shd w:val="clear" w:color="auto" w:fill="auto"/>
            <w:noWrap/>
            <w:vAlign w:val="center"/>
            <w:hideMark/>
          </w:tcPr>
          <w:p w14:paraId="279CE275" w14:textId="77777777" w:rsidR="002869DF" w:rsidRPr="00284463" w:rsidRDefault="002869DF" w:rsidP="002153F7">
            <w:pPr>
              <w:jc w:val="center"/>
              <w:rPr>
                <w:lang w:val="cs-CZ"/>
              </w:rPr>
            </w:pPr>
            <w:r w:rsidRPr="00284463">
              <w:rPr>
                <w:lang w:val="cs-CZ"/>
              </w:rPr>
              <w:t>163</w:t>
            </w:r>
          </w:p>
        </w:tc>
        <w:tc>
          <w:tcPr>
            <w:tcW w:w="791" w:type="pct"/>
            <w:tcBorders>
              <w:top w:val="nil"/>
              <w:left w:val="nil"/>
              <w:bottom w:val="nil"/>
              <w:right w:val="single" w:sz="4" w:space="0" w:color="auto"/>
            </w:tcBorders>
            <w:shd w:val="clear" w:color="auto" w:fill="auto"/>
            <w:noWrap/>
            <w:vAlign w:val="center"/>
            <w:hideMark/>
          </w:tcPr>
          <w:p w14:paraId="48A857DA" w14:textId="77777777" w:rsidR="002869DF" w:rsidRPr="00284463" w:rsidRDefault="002869DF" w:rsidP="002153F7">
            <w:pPr>
              <w:jc w:val="center"/>
              <w:rPr>
                <w:lang w:val="cs-CZ"/>
              </w:rPr>
            </w:pPr>
            <w:r w:rsidRPr="00284463">
              <w:rPr>
                <w:lang w:val="cs-CZ"/>
              </w:rPr>
              <w:t>39,8 %</w:t>
            </w:r>
          </w:p>
        </w:tc>
        <w:tc>
          <w:tcPr>
            <w:tcW w:w="709" w:type="pct"/>
            <w:gridSpan w:val="2"/>
            <w:tcBorders>
              <w:top w:val="nil"/>
              <w:left w:val="nil"/>
              <w:bottom w:val="nil"/>
              <w:right w:val="single" w:sz="4" w:space="0" w:color="auto"/>
            </w:tcBorders>
            <w:shd w:val="clear" w:color="auto" w:fill="auto"/>
            <w:noWrap/>
            <w:vAlign w:val="center"/>
            <w:hideMark/>
          </w:tcPr>
          <w:p w14:paraId="7D3F2C9E" w14:textId="77777777" w:rsidR="002869DF" w:rsidRPr="00284463" w:rsidRDefault="002869DF" w:rsidP="002153F7">
            <w:pPr>
              <w:jc w:val="center"/>
              <w:rPr>
                <w:lang w:val="cs-CZ"/>
              </w:rPr>
            </w:pPr>
            <w:r w:rsidRPr="00284463">
              <w:rPr>
                <w:lang w:val="cs-CZ"/>
              </w:rPr>
              <w:t>6 074</w:t>
            </w:r>
          </w:p>
        </w:tc>
        <w:tc>
          <w:tcPr>
            <w:tcW w:w="766" w:type="pct"/>
            <w:gridSpan w:val="2"/>
            <w:tcBorders>
              <w:top w:val="nil"/>
              <w:left w:val="nil"/>
              <w:bottom w:val="nil"/>
              <w:right w:val="single" w:sz="4" w:space="0" w:color="auto"/>
            </w:tcBorders>
            <w:shd w:val="clear" w:color="auto" w:fill="auto"/>
            <w:noWrap/>
            <w:vAlign w:val="center"/>
            <w:hideMark/>
          </w:tcPr>
          <w:p w14:paraId="7B9FB536" w14:textId="77777777" w:rsidR="002869DF" w:rsidRPr="00284463" w:rsidRDefault="002869DF" w:rsidP="002153F7">
            <w:pPr>
              <w:jc w:val="center"/>
              <w:rPr>
                <w:lang w:val="cs-CZ"/>
              </w:rPr>
            </w:pPr>
            <w:r w:rsidRPr="00284463">
              <w:rPr>
                <w:lang w:val="cs-CZ"/>
              </w:rPr>
              <w:t>64,4 %</w:t>
            </w:r>
          </w:p>
        </w:tc>
        <w:tc>
          <w:tcPr>
            <w:tcW w:w="650" w:type="pct"/>
            <w:tcBorders>
              <w:top w:val="nil"/>
              <w:left w:val="nil"/>
              <w:bottom w:val="nil"/>
              <w:right w:val="single" w:sz="4" w:space="0" w:color="auto"/>
            </w:tcBorders>
            <w:shd w:val="clear" w:color="auto" w:fill="auto"/>
            <w:noWrap/>
            <w:vAlign w:val="center"/>
            <w:hideMark/>
          </w:tcPr>
          <w:p w14:paraId="38F7D6B9" w14:textId="77777777" w:rsidR="002869DF" w:rsidRPr="00284463" w:rsidRDefault="002869DF" w:rsidP="002153F7">
            <w:pPr>
              <w:jc w:val="center"/>
              <w:rPr>
                <w:lang w:val="cs-CZ"/>
              </w:rPr>
            </w:pPr>
            <w:r w:rsidRPr="00284463">
              <w:rPr>
                <w:lang w:val="cs-CZ"/>
              </w:rPr>
              <w:t>6 237</w:t>
            </w:r>
          </w:p>
        </w:tc>
        <w:tc>
          <w:tcPr>
            <w:tcW w:w="763" w:type="pct"/>
            <w:tcBorders>
              <w:top w:val="nil"/>
              <w:left w:val="nil"/>
              <w:bottom w:val="nil"/>
              <w:right w:val="single" w:sz="4" w:space="0" w:color="auto"/>
            </w:tcBorders>
            <w:shd w:val="clear" w:color="auto" w:fill="auto"/>
            <w:noWrap/>
            <w:vAlign w:val="center"/>
            <w:hideMark/>
          </w:tcPr>
          <w:p w14:paraId="16F545A9" w14:textId="77777777" w:rsidR="002869DF" w:rsidRPr="00284463" w:rsidRDefault="002869DF" w:rsidP="002153F7">
            <w:pPr>
              <w:jc w:val="center"/>
              <w:rPr>
                <w:lang w:val="cs-CZ"/>
              </w:rPr>
            </w:pPr>
            <w:r w:rsidRPr="00284463">
              <w:rPr>
                <w:lang w:val="cs-CZ"/>
              </w:rPr>
              <w:t>63,35 %</w:t>
            </w:r>
          </w:p>
        </w:tc>
      </w:tr>
      <w:tr w:rsidR="002869DF" w:rsidRPr="00284463" w14:paraId="204F092A" w14:textId="77777777" w:rsidTr="002153F7">
        <w:trPr>
          <w:trHeight w:val="67"/>
          <w:jc w:val="center"/>
        </w:trPr>
        <w:tc>
          <w:tcPr>
            <w:tcW w:w="738" w:type="pct"/>
            <w:tcBorders>
              <w:top w:val="single" w:sz="4" w:space="0" w:color="auto"/>
              <w:left w:val="single" w:sz="4" w:space="0" w:color="auto"/>
              <w:bottom w:val="single" w:sz="4" w:space="0" w:color="auto"/>
              <w:right w:val="nil"/>
            </w:tcBorders>
            <w:shd w:val="clear" w:color="auto" w:fill="auto"/>
            <w:noWrap/>
            <w:vAlign w:val="center"/>
            <w:hideMark/>
          </w:tcPr>
          <w:p w14:paraId="336C2BEA" w14:textId="77777777" w:rsidR="002869DF" w:rsidRPr="00284463" w:rsidRDefault="002869DF" w:rsidP="002153F7">
            <w:pPr>
              <w:rPr>
                <w:lang w:val="cs-CZ"/>
              </w:rPr>
            </w:pPr>
            <w:r w:rsidRPr="00284463">
              <w:rPr>
                <w:lang w:val="cs-CZ"/>
              </w:rPr>
              <w:t>Celkem</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D9203" w14:textId="77777777" w:rsidR="002869DF" w:rsidRPr="00284463" w:rsidRDefault="002869DF" w:rsidP="002153F7">
            <w:pPr>
              <w:jc w:val="center"/>
              <w:rPr>
                <w:lang w:val="cs-CZ"/>
              </w:rPr>
            </w:pPr>
            <w:r w:rsidRPr="00284463">
              <w:rPr>
                <w:lang w:val="cs-CZ"/>
              </w:rPr>
              <w:t>410</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6A376D68" w14:textId="77777777" w:rsidR="002869DF" w:rsidRPr="00284463" w:rsidRDefault="002869DF" w:rsidP="002153F7">
            <w:pPr>
              <w:jc w:val="center"/>
              <w:rPr>
                <w:lang w:val="cs-CZ"/>
              </w:rPr>
            </w:pPr>
            <w:r w:rsidRPr="00284463">
              <w:rPr>
                <w:lang w:val="cs-CZ"/>
              </w:rPr>
              <w:t>100,0 %</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D1355" w14:textId="77777777" w:rsidR="002869DF" w:rsidRPr="00284463" w:rsidRDefault="002869DF" w:rsidP="002153F7">
            <w:pPr>
              <w:jc w:val="center"/>
              <w:rPr>
                <w:lang w:val="cs-CZ"/>
              </w:rPr>
            </w:pPr>
            <w:r w:rsidRPr="00284463">
              <w:rPr>
                <w:lang w:val="cs-CZ"/>
              </w:rPr>
              <w:t>9 436</w:t>
            </w:r>
          </w:p>
        </w:tc>
        <w:tc>
          <w:tcPr>
            <w:tcW w:w="76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8B9AF0" w14:textId="77777777" w:rsidR="002869DF" w:rsidRPr="00284463" w:rsidRDefault="002869DF" w:rsidP="002153F7">
            <w:pPr>
              <w:jc w:val="center"/>
              <w:rPr>
                <w:lang w:val="cs-CZ"/>
              </w:rPr>
            </w:pPr>
            <w:r w:rsidRPr="00284463">
              <w:rPr>
                <w:lang w:val="cs-CZ"/>
              </w:rPr>
              <w:t>100,0 %</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14:paraId="50C3DB27" w14:textId="77777777" w:rsidR="002869DF" w:rsidRPr="00284463" w:rsidRDefault="002869DF" w:rsidP="002153F7">
            <w:pPr>
              <w:jc w:val="center"/>
              <w:rPr>
                <w:lang w:val="cs-CZ"/>
              </w:rPr>
            </w:pPr>
            <w:r w:rsidRPr="00284463">
              <w:rPr>
                <w:lang w:val="cs-CZ"/>
              </w:rPr>
              <w:t>9 846</w:t>
            </w:r>
          </w:p>
        </w:tc>
        <w:tc>
          <w:tcPr>
            <w:tcW w:w="763" w:type="pct"/>
            <w:tcBorders>
              <w:top w:val="single" w:sz="4" w:space="0" w:color="auto"/>
              <w:left w:val="nil"/>
              <w:bottom w:val="single" w:sz="4" w:space="0" w:color="auto"/>
              <w:right w:val="single" w:sz="4" w:space="0" w:color="auto"/>
            </w:tcBorders>
            <w:shd w:val="clear" w:color="auto" w:fill="auto"/>
            <w:noWrap/>
            <w:vAlign w:val="center"/>
            <w:hideMark/>
          </w:tcPr>
          <w:p w14:paraId="04BB4B93" w14:textId="77777777" w:rsidR="002869DF" w:rsidRPr="00284463" w:rsidRDefault="002869DF" w:rsidP="002153F7">
            <w:pPr>
              <w:jc w:val="center"/>
              <w:rPr>
                <w:lang w:val="cs-CZ"/>
              </w:rPr>
            </w:pPr>
            <w:r w:rsidRPr="00284463">
              <w:rPr>
                <w:lang w:val="cs-CZ"/>
              </w:rPr>
              <w:t>100,0 %</w:t>
            </w:r>
          </w:p>
        </w:tc>
      </w:tr>
    </w:tbl>
    <w:p w14:paraId="6F289D65" w14:textId="5A89E9E2" w:rsidR="005B3BDD" w:rsidRPr="00284463" w:rsidRDefault="00506815" w:rsidP="005B3BDD">
      <w:pPr>
        <w:rPr>
          <w:i/>
          <w:lang w:val="cs-CZ" w:eastAsia="zh-CN"/>
        </w:rPr>
      </w:pPr>
      <w:r w:rsidRPr="00284463">
        <w:rPr>
          <w:lang w:val="cs-CZ" w:eastAsia="zh-CN"/>
        </w:rPr>
        <w:tab/>
      </w:r>
      <w:r w:rsidR="00A07E82" w:rsidRPr="00284463">
        <w:rPr>
          <w:i/>
          <w:lang w:val="cs-CZ" w:eastAsia="zh-CN"/>
        </w:rPr>
        <w:t>PV příplatek za vedení</w:t>
      </w:r>
    </w:p>
    <w:p w14:paraId="00ABF933" w14:textId="77777777" w:rsidR="00246E80" w:rsidRPr="00284463" w:rsidRDefault="00246E80" w:rsidP="005B3BDD">
      <w:pPr>
        <w:rPr>
          <w:lang w:val="cs-CZ" w:eastAsia="zh-CN"/>
        </w:rPr>
      </w:pPr>
    </w:p>
    <w:p w14:paraId="0616C9EC" w14:textId="7AFFC924" w:rsidR="005B3BDD" w:rsidRPr="00284463" w:rsidRDefault="005B3BDD" w:rsidP="005B3BDD">
      <w:pPr>
        <w:pStyle w:val="Odstavecseseznamem"/>
        <w:numPr>
          <w:ilvl w:val="0"/>
          <w:numId w:val="29"/>
        </w:numPr>
        <w:jc w:val="both"/>
        <w:rPr>
          <w:b/>
          <w:u w:val="single"/>
          <w:lang w:val="cs-CZ"/>
        </w:rPr>
      </w:pPr>
      <w:r w:rsidRPr="00284463">
        <w:rPr>
          <w:b/>
          <w:u w:val="single"/>
          <w:lang w:val="cs-CZ"/>
        </w:rPr>
        <w:t>Gesce MZV</w:t>
      </w:r>
    </w:p>
    <w:p w14:paraId="41D46C74" w14:textId="77777777" w:rsidR="005B3BDD" w:rsidRPr="00284463" w:rsidRDefault="005B3BDD" w:rsidP="005B3BDD">
      <w:pPr>
        <w:pStyle w:val="Odstavecseseznamem"/>
        <w:ind w:left="1080"/>
        <w:jc w:val="both"/>
        <w:rPr>
          <w:lang w:val="cs-CZ"/>
        </w:rPr>
      </w:pPr>
    </w:p>
    <w:p w14:paraId="7F23DE12" w14:textId="4D02F8FC" w:rsidR="002869DF" w:rsidRPr="00284463" w:rsidRDefault="002869DF" w:rsidP="002869DF">
      <w:pPr>
        <w:jc w:val="both"/>
        <w:rPr>
          <w:lang w:val="cs-CZ"/>
        </w:rPr>
      </w:pPr>
      <w:r w:rsidRPr="00284463">
        <w:rPr>
          <w:lang w:val="cs-CZ"/>
        </w:rPr>
        <w:t>Platová transparentnost je v MZV zajišťována zejména platovým řádem, který se vztahuje na všechny zaměstnance MZV ve služebním i pracovním poměru bez ohledu na pohlaví. Státnímu zaměstnanci v MZV přísluší platový tarif stanovený pro platovou třídu podle katalogu správních činností pro systemizované služební místo a platový stupeň, do kterého je zařazen na základě započitatelné praxe. Zaměstnanci v pracovněprávním vztahu k MZV náleží plat stanovený podle platového tarifu, který odpovídá jeho zařazení do platové třídy, platového stupně a přiznaných nárokových příplatků. Platový řád MZV dále stanoví příplatky za vedení, zastupování, podmínky pro udělení mimořádných, cílových či jubilejních odměn apod. V žádné z výše uvedených oblastí není pohlaví kritériem pro stanovení výše platu nebo mzdy.</w:t>
      </w:r>
    </w:p>
    <w:p w14:paraId="6F39DBF3" w14:textId="106BBFC9" w:rsidR="002869DF" w:rsidRPr="00284463" w:rsidRDefault="002869DF" w:rsidP="002869DF">
      <w:pPr>
        <w:jc w:val="both"/>
        <w:rPr>
          <w:lang w:val="cs-CZ"/>
        </w:rPr>
      </w:pPr>
    </w:p>
    <w:p w14:paraId="10A94A54" w14:textId="77777777" w:rsidR="002869DF" w:rsidRPr="00284463" w:rsidRDefault="002869DF" w:rsidP="002869DF">
      <w:pPr>
        <w:jc w:val="both"/>
        <w:rPr>
          <w:lang w:val="cs-CZ"/>
        </w:rPr>
      </w:pPr>
    </w:p>
    <w:p w14:paraId="2B01ACA9" w14:textId="6635FD88" w:rsidR="00052CA2" w:rsidRPr="00284463" w:rsidRDefault="00052CA2" w:rsidP="00850AAF">
      <w:pPr>
        <w:pStyle w:val="Nadpis1"/>
        <w:pageBreakBefore/>
        <w:numPr>
          <w:ilvl w:val="0"/>
          <w:numId w:val="9"/>
        </w:numPr>
        <w:pBdr>
          <w:top w:val="single" w:sz="4" w:space="1" w:color="4F81BD"/>
          <w:left w:val="single" w:sz="4" w:space="4" w:color="4F81BD"/>
          <w:bottom w:val="single" w:sz="4" w:space="1" w:color="4F81BD"/>
          <w:right w:val="single" w:sz="4" w:space="4" w:color="4F81BD"/>
          <w:between w:val="single" w:sz="4" w:space="1" w:color="4F81BD"/>
          <w:bar w:val="single" w:sz="4" w:color="4F81BD"/>
        </w:pBdr>
        <w:ind w:left="357" w:hanging="357"/>
        <w:rPr>
          <w:rFonts w:ascii="Times New Roman" w:hAnsi="Times New Roman"/>
          <w:color w:val="2F5496" w:themeColor="accent1" w:themeShade="BF"/>
          <w:sz w:val="28"/>
          <w:szCs w:val="28"/>
          <w:lang w:val="cs-CZ"/>
        </w:rPr>
      </w:pPr>
      <w:bookmarkStart w:id="16" w:name="_Toc469998693"/>
      <w:bookmarkStart w:id="17" w:name="_Toc8495768"/>
      <w:bookmarkStart w:id="18" w:name="_Toc39673334"/>
      <w:r w:rsidRPr="00284463">
        <w:rPr>
          <w:rFonts w:ascii="Times New Roman" w:hAnsi="Times New Roman"/>
          <w:color w:val="2F5496" w:themeColor="accent1" w:themeShade="BF"/>
          <w:sz w:val="28"/>
          <w:szCs w:val="28"/>
          <w:lang w:val="cs-CZ"/>
        </w:rPr>
        <w:lastRenderedPageBreak/>
        <w:t>Vz</w:t>
      </w:r>
      <w:r w:rsidR="00204E83" w:rsidRPr="00284463">
        <w:rPr>
          <w:rFonts w:ascii="Times New Roman" w:hAnsi="Times New Roman"/>
          <w:color w:val="2F5496" w:themeColor="accent1" w:themeShade="BF"/>
          <w:sz w:val="28"/>
          <w:szCs w:val="28"/>
          <w:lang w:val="cs-CZ"/>
        </w:rPr>
        <w:t>dělávání a školení ve vztahu k A</w:t>
      </w:r>
      <w:r w:rsidRPr="00284463">
        <w:rPr>
          <w:rFonts w:ascii="Times New Roman" w:hAnsi="Times New Roman"/>
          <w:color w:val="2F5496" w:themeColor="accent1" w:themeShade="BF"/>
          <w:sz w:val="28"/>
          <w:szCs w:val="28"/>
          <w:lang w:val="cs-CZ"/>
        </w:rPr>
        <w:t>gendě WPS</w:t>
      </w:r>
      <w:bookmarkEnd w:id="16"/>
      <w:bookmarkEnd w:id="17"/>
      <w:bookmarkEnd w:id="18"/>
    </w:p>
    <w:p w14:paraId="7A49A09D" w14:textId="77777777" w:rsidR="00052CA2" w:rsidRPr="00284463" w:rsidRDefault="00052CA2" w:rsidP="007554FF">
      <w:pPr>
        <w:snapToGrid w:val="0"/>
        <w:spacing w:after="120" w:line="276" w:lineRule="auto"/>
        <w:rPr>
          <w:sz w:val="22"/>
          <w:szCs w:val="22"/>
          <w:lang w:val="cs-CZ"/>
        </w:rPr>
      </w:pPr>
    </w:p>
    <w:p w14:paraId="75A3A357" w14:textId="77777777" w:rsidR="00EF240C" w:rsidRPr="00284463" w:rsidRDefault="00EF240C" w:rsidP="005B4495">
      <w:pPr>
        <w:pStyle w:val="Nadpis2"/>
        <w:pBdr>
          <w:bottom w:val="single" w:sz="4" w:space="1" w:color="4F81BD"/>
        </w:pBdr>
        <w:rPr>
          <w:rFonts w:ascii="Times New Roman" w:hAnsi="Times New Roman"/>
          <w:i w:val="0"/>
          <w:color w:val="2F5496" w:themeColor="accent1" w:themeShade="BF"/>
          <w:lang w:val="cs-CZ"/>
        </w:rPr>
      </w:pPr>
      <w:bookmarkStart w:id="19" w:name="_Toc39673335"/>
      <w:r w:rsidRPr="00284463">
        <w:rPr>
          <w:rFonts w:ascii="Times New Roman" w:hAnsi="Times New Roman"/>
          <w:i w:val="0"/>
          <w:color w:val="2F5496" w:themeColor="accent1" w:themeShade="BF"/>
          <w:lang w:val="cs-CZ"/>
        </w:rPr>
        <w:t>Úkol č. 8</w:t>
      </w:r>
      <w:bookmarkEnd w:id="19"/>
    </w:p>
    <w:p w14:paraId="21BE27A2" w14:textId="77777777" w:rsidR="00BB40FD" w:rsidRPr="00284463" w:rsidRDefault="00BB40FD" w:rsidP="00850AAF">
      <w:pPr>
        <w:snapToGrid w:val="0"/>
        <w:spacing w:after="120" w:line="276" w:lineRule="auto"/>
        <w:jc w:val="both"/>
        <w:rPr>
          <w:b/>
          <w:lang w:val="cs-CZ"/>
        </w:rPr>
      </w:pPr>
      <w:r w:rsidRPr="00284463">
        <w:rPr>
          <w:b/>
          <w:lang w:val="cs-CZ"/>
        </w:rPr>
        <w:t xml:space="preserve">Obecný cíl: </w:t>
      </w:r>
      <w:r w:rsidR="00EF240C" w:rsidRPr="00284463">
        <w:rPr>
          <w:b/>
          <w:lang w:val="cs-CZ"/>
        </w:rPr>
        <w:t xml:space="preserve">Podporovat vzdělávání a školení v tématu </w:t>
      </w:r>
      <w:r w:rsidR="00036324" w:rsidRPr="00284463">
        <w:rPr>
          <w:b/>
          <w:lang w:val="cs-CZ"/>
        </w:rPr>
        <w:t>A</w:t>
      </w:r>
      <w:r w:rsidR="00EF240C" w:rsidRPr="00284463">
        <w:rPr>
          <w:b/>
          <w:lang w:val="cs-CZ"/>
        </w:rPr>
        <w:t>gendy WPS, naplňování Akčního plánu rezortu MO k implementaci rezoluce RB OSN 1325</w:t>
      </w:r>
    </w:p>
    <w:p w14:paraId="17034267" w14:textId="77777777" w:rsidR="00EF240C" w:rsidRPr="00284463" w:rsidRDefault="00EF240C" w:rsidP="00850AAF">
      <w:pPr>
        <w:snapToGrid w:val="0"/>
        <w:spacing w:after="120" w:line="276" w:lineRule="auto"/>
        <w:jc w:val="both"/>
        <w:rPr>
          <w:lang w:val="cs-CZ"/>
        </w:rPr>
      </w:pPr>
      <w:r w:rsidRPr="00284463">
        <w:rPr>
          <w:lang w:val="cs-CZ"/>
        </w:rPr>
        <w:t>Úkoly:</w:t>
      </w:r>
    </w:p>
    <w:p w14:paraId="73172702" w14:textId="77777777" w:rsidR="00EF240C" w:rsidRPr="00284463" w:rsidRDefault="00EF240C" w:rsidP="00850AAF">
      <w:pPr>
        <w:numPr>
          <w:ilvl w:val="0"/>
          <w:numId w:val="4"/>
        </w:numPr>
        <w:snapToGrid w:val="0"/>
        <w:spacing w:after="120" w:line="276" w:lineRule="auto"/>
        <w:jc w:val="both"/>
        <w:rPr>
          <w:lang w:val="cs-CZ"/>
        </w:rPr>
      </w:pPr>
      <w:r w:rsidRPr="00284463">
        <w:rPr>
          <w:lang w:val="cs-CZ"/>
        </w:rPr>
        <w:t xml:space="preserve">Zajistit pravidelné proškolování personálu MO, MV v oblasti </w:t>
      </w:r>
      <w:r w:rsidR="00036324" w:rsidRPr="00284463">
        <w:rPr>
          <w:lang w:val="cs-CZ"/>
        </w:rPr>
        <w:t>A</w:t>
      </w:r>
      <w:r w:rsidRPr="00284463">
        <w:rPr>
          <w:lang w:val="cs-CZ"/>
        </w:rPr>
        <w:t xml:space="preserve">gendy WPS včetně kontextu lidských práv, zařazovat </w:t>
      </w:r>
      <w:r w:rsidR="00036324" w:rsidRPr="00284463">
        <w:rPr>
          <w:lang w:val="cs-CZ"/>
        </w:rPr>
        <w:t>A</w:t>
      </w:r>
      <w:r w:rsidRPr="00284463">
        <w:rPr>
          <w:lang w:val="cs-CZ"/>
        </w:rPr>
        <w:t>gendu WPS do velitelské a operační přípravy velitelů/velitelek a na velitelské shromáždění</w:t>
      </w:r>
      <w:r w:rsidR="008E78B4" w:rsidRPr="00284463">
        <w:rPr>
          <w:lang w:val="cs-CZ"/>
        </w:rPr>
        <w:t>;</w:t>
      </w:r>
    </w:p>
    <w:p w14:paraId="5A405D67" w14:textId="77777777" w:rsidR="00EF240C" w:rsidRPr="00284463" w:rsidRDefault="00EF240C" w:rsidP="00850AAF">
      <w:pPr>
        <w:numPr>
          <w:ilvl w:val="0"/>
          <w:numId w:val="4"/>
        </w:numPr>
        <w:snapToGrid w:val="0"/>
        <w:spacing w:after="120" w:line="276" w:lineRule="auto"/>
        <w:jc w:val="both"/>
        <w:rPr>
          <w:lang w:val="cs-CZ"/>
        </w:rPr>
      </w:pPr>
      <w:r w:rsidRPr="00284463">
        <w:rPr>
          <w:lang w:val="cs-CZ"/>
        </w:rPr>
        <w:t xml:space="preserve">Vyhodnocovat a aktualizovat obsah dokumentů pro přípravu vojenského a civilního personálu z hlediska </w:t>
      </w:r>
      <w:r w:rsidR="00036324" w:rsidRPr="00284463">
        <w:rPr>
          <w:lang w:val="cs-CZ"/>
        </w:rPr>
        <w:t>A</w:t>
      </w:r>
      <w:r w:rsidRPr="00284463">
        <w:rPr>
          <w:lang w:val="cs-CZ"/>
        </w:rPr>
        <w:t>gendy WPS a aktualizovat současné předpisy dle aktuálního vývoje, do vzdělávacích programů začlenit informace o sociálních a kulturních specifikách regionu, do kterého budou školené osoby vyslány</w:t>
      </w:r>
      <w:r w:rsidR="008E78B4" w:rsidRPr="00284463">
        <w:rPr>
          <w:lang w:val="cs-CZ"/>
        </w:rPr>
        <w:t>;</w:t>
      </w:r>
    </w:p>
    <w:p w14:paraId="6E33DF50" w14:textId="72BBA045" w:rsidR="00412BC7" w:rsidRPr="00284463" w:rsidRDefault="00EF240C" w:rsidP="00850AAF">
      <w:pPr>
        <w:numPr>
          <w:ilvl w:val="0"/>
          <w:numId w:val="4"/>
        </w:numPr>
        <w:snapToGrid w:val="0"/>
        <w:spacing w:after="120" w:line="276" w:lineRule="auto"/>
        <w:jc w:val="both"/>
        <w:rPr>
          <w:lang w:val="cs-CZ"/>
        </w:rPr>
      </w:pPr>
      <w:r w:rsidRPr="00284463">
        <w:rPr>
          <w:bCs/>
          <w:lang w:val="cs-CZ"/>
        </w:rPr>
        <w:t xml:space="preserve">Začlenit </w:t>
      </w:r>
      <w:r w:rsidR="00036324" w:rsidRPr="00284463">
        <w:rPr>
          <w:bCs/>
          <w:lang w:val="cs-CZ"/>
        </w:rPr>
        <w:t>A</w:t>
      </w:r>
      <w:r w:rsidRPr="00284463">
        <w:rPr>
          <w:bCs/>
          <w:lang w:val="cs-CZ"/>
        </w:rPr>
        <w:t>gendu WPS do přípravy pro civilní zaměstnance agentur v organizační struktuře NATO vysílaných do zahraničních operací</w:t>
      </w:r>
      <w:r w:rsidR="0094663D" w:rsidRPr="00284463">
        <w:rPr>
          <w:bCs/>
          <w:lang w:val="cs-CZ"/>
        </w:rPr>
        <w:t>.</w:t>
      </w:r>
    </w:p>
    <w:p w14:paraId="230075FF" w14:textId="77777777" w:rsidR="002869DF" w:rsidRPr="00284463" w:rsidRDefault="002869DF" w:rsidP="002869DF">
      <w:pPr>
        <w:snapToGrid w:val="0"/>
        <w:spacing w:after="120" w:line="276" w:lineRule="auto"/>
        <w:ind w:left="720"/>
        <w:jc w:val="both"/>
        <w:rPr>
          <w:lang w:val="cs-CZ"/>
        </w:rPr>
      </w:pPr>
    </w:p>
    <w:p w14:paraId="2AD7E98C" w14:textId="77777777" w:rsidR="002869DF" w:rsidRPr="00284463" w:rsidRDefault="002869DF" w:rsidP="00850AAF">
      <w:pPr>
        <w:pStyle w:val="Zkladntext"/>
        <w:tabs>
          <w:tab w:val="left" w:pos="0"/>
        </w:tabs>
        <w:spacing w:before="120" w:after="0"/>
        <w:jc w:val="both"/>
        <w:rPr>
          <w:lang w:val="cs-CZ"/>
        </w:rPr>
      </w:pPr>
      <w:r w:rsidRPr="00284463">
        <w:rPr>
          <w:iCs/>
          <w:lang w:val="cs-CZ"/>
        </w:rPr>
        <w:t>Vzdělávání žen a mužů v</w:t>
      </w:r>
      <w:r w:rsidRPr="00284463">
        <w:rPr>
          <w:i/>
          <w:iCs/>
          <w:lang w:val="cs-CZ"/>
        </w:rPr>
        <w:t xml:space="preserve"> </w:t>
      </w:r>
      <w:r w:rsidRPr="00284463">
        <w:rPr>
          <w:lang w:val="cs-CZ"/>
        </w:rPr>
        <w:t xml:space="preserve">pracovním i služebním poměru rezortu MO probíhalo v souladu s vnitřním předpisem k prosazování principu rovnosti žen a mužů a v souladu s vnitřním předpisem k primární prevenci rizikového chování personálu rezortu MO. Ovšem v hodnoceném období, pokud jde o prezenční formy vzdělávání, jen velmi omezeně. V souvislosti s nepříznivou epidemiologickou situací a v souladu s rozhodnutími hlavní hygieničky MO se společná odborná příprava zaměstnanců neuskutečnila prezenčně, ale formou e-learningu.  To platilo i v případě celodenního semináře k prevenci rizikového chování, jehož součástí byla i přednáška zaměřená na prosazování principu rovnosti žen a mužů, ale také úvodního vstupního vzdělávání pro státní zaměstnance, kteří jsou ve služebním poměru dle zákona č. 234/2014 Sb., o státní službě, ve znění pozdějších předpisů. Plánovaný podzimní devatenáctý přednáškový cyklus, tradičně určený vedoucím a koncepčním zaměstnancům, byl rovněž z důvodu závažné epidemiologické situace zrušen. Tento seminář má velmi „široký záběr“ a nebylo jej možno převést do online prostředí. </w:t>
      </w:r>
    </w:p>
    <w:p w14:paraId="38276671" w14:textId="18C83AD2" w:rsidR="002869DF" w:rsidRPr="00284463" w:rsidRDefault="002869DF" w:rsidP="00850AAF">
      <w:pPr>
        <w:pStyle w:val="Zkladntext"/>
        <w:tabs>
          <w:tab w:val="left" w:pos="180"/>
        </w:tabs>
        <w:spacing w:before="120" w:after="0"/>
        <w:jc w:val="both"/>
        <w:rPr>
          <w:bCs/>
          <w:iCs/>
          <w:lang w:val="cs-CZ"/>
        </w:rPr>
      </w:pPr>
      <w:r w:rsidRPr="00284463">
        <w:rPr>
          <w:bCs/>
          <w:iCs/>
          <w:lang w:val="cs-CZ"/>
        </w:rPr>
        <w:t xml:space="preserve">Problematika diskriminace a rovných příležitosti žen a mužů je trvale začleněna do výuky studentů a studentek </w:t>
      </w:r>
      <w:r w:rsidRPr="00284463">
        <w:rPr>
          <w:bCs/>
          <w:i/>
          <w:iCs/>
          <w:lang w:val="cs-CZ"/>
        </w:rPr>
        <w:t>Univerzity obrany</w:t>
      </w:r>
      <w:r w:rsidRPr="00284463">
        <w:rPr>
          <w:bCs/>
          <w:iCs/>
          <w:lang w:val="cs-CZ"/>
        </w:rPr>
        <w:t xml:space="preserve">, a to v předmětu Základy práva, Mezinárodní humanitární právo, Veřejná ekonomika, Pracovní právo a právo služebního poměru, Sociologie a Organizační chování.  Do výuky v kurzech pro vyšší důstojníky je problematika rovnosti pohlaví zařazena v rámci předmětu Aplikovaná teorie řízení a </w:t>
      </w:r>
      <w:r w:rsidR="00284463">
        <w:rPr>
          <w:bCs/>
          <w:iCs/>
          <w:lang w:val="cs-CZ"/>
        </w:rPr>
        <w:t>leaders</w:t>
      </w:r>
      <w:r w:rsidR="00284463" w:rsidRPr="00284463">
        <w:rPr>
          <w:bCs/>
          <w:iCs/>
          <w:lang w:val="cs-CZ"/>
        </w:rPr>
        <w:t>hip</w:t>
      </w:r>
      <w:r w:rsidRPr="00284463">
        <w:rPr>
          <w:bCs/>
          <w:iCs/>
          <w:lang w:val="cs-CZ"/>
        </w:rPr>
        <w:t xml:space="preserve"> (v rozsahu 2 hodin).  </w:t>
      </w:r>
    </w:p>
    <w:p w14:paraId="3D909F5F" w14:textId="77777777" w:rsidR="00185042" w:rsidRPr="00284463" w:rsidRDefault="00185042" w:rsidP="00850AAF">
      <w:pPr>
        <w:ind w:left="29"/>
        <w:jc w:val="both"/>
        <w:rPr>
          <w:lang w:val="cs-CZ"/>
        </w:rPr>
      </w:pPr>
    </w:p>
    <w:p w14:paraId="5A91DAEF" w14:textId="447E5506" w:rsidR="002869DF" w:rsidRPr="00284463" w:rsidRDefault="002869DF" w:rsidP="00850AAF">
      <w:pPr>
        <w:ind w:left="29"/>
        <w:jc w:val="both"/>
        <w:rPr>
          <w:lang w:val="cs-CZ"/>
        </w:rPr>
      </w:pPr>
      <w:r w:rsidRPr="00284463">
        <w:rPr>
          <w:lang w:val="cs-CZ"/>
        </w:rPr>
        <w:t xml:space="preserve">V souladu s požadavkem Univerzity obrany uskutečnila hlavní inspektorka ochrany lidských práv rezortu MO přednášku pro studenty fakult zaměřenou na ochranu lidských práv v rezortu MO. </w:t>
      </w:r>
    </w:p>
    <w:p w14:paraId="2888F385" w14:textId="77777777" w:rsidR="002869DF" w:rsidRPr="00284463" w:rsidRDefault="002869DF" w:rsidP="00850AAF">
      <w:pPr>
        <w:spacing w:before="120"/>
        <w:ind w:left="28"/>
        <w:jc w:val="both"/>
        <w:rPr>
          <w:lang w:val="cs-CZ"/>
        </w:rPr>
      </w:pPr>
      <w:r w:rsidRPr="00284463">
        <w:rPr>
          <w:lang w:val="cs-CZ"/>
        </w:rPr>
        <w:t xml:space="preserve">Gender Focal Point </w:t>
      </w:r>
      <w:r w:rsidRPr="00284463">
        <w:rPr>
          <w:i/>
          <w:lang w:val="cs-CZ"/>
        </w:rPr>
        <w:t>Velitelství výcviku – Vojenské akademie</w:t>
      </w:r>
      <w:r w:rsidRPr="00284463">
        <w:rPr>
          <w:lang w:val="cs-CZ"/>
        </w:rPr>
        <w:t xml:space="preserve"> ve Vyškově (VeV-VA) si upevňuje své znalosti prostřednictvím e-learningových kurzů, které jsou dostupné na webových stránkách </w:t>
      </w:r>
      <w:hyperlink r:id="rId24" w:history="1">
        <w:r w:rsidRPr="00284463">
          <w:rPr>
            <w:rStyle w:val="Hypertextovodkaz"/>
            <w:lang w:val="cs-CZ"/>
          </w:rPr>
          <w:t>https://jadl.act.nato.int/</w:t>
        </w:r>
      </w:hyperlink>
      <w:r w:rsidRPr="00284463">
        <w:rPr>
          <w:lang w:val="cs-CZ"/>
        </w:rPr>
        <w:t xml:space="preserve">. Jedná se o dva kurzy, a to kurz zaměřený na </w:t>
      </w:r>
      <w:r w:rsidRPr="00284463">
        <w:rPr>
          <w:lang w:val="cs-CZ"/>
        </w:rPr>
        <w:lastRenderedPageBreak/>
        <w:t xml:space="preserve">zvýšení efektivity integrací genderové perspektivy, který se věnuje základním pojmům a nástrojům, které zaměstnanci používají při uplatňování genderové perspektivy při své práci v NATO (ADL 169 Improving Operational Effectiveness by Integrating Gender Perspective) a dále pak o kurz genderového poradce (ADL 168 Role of the Gender Advisor Course V2.0). Poznatky z kurzů byly využity při přípravě e-learningových kurzů pro zaměstnance VeV-VA a pro posluchače kariérových kurzů (poddůstojnický kurz, základní praporčický kurz, vyšší praporčický kurz, základní důstojnický kurz, kurz nižších důstojníků). </w:t>
      </w:r>
    </w:p>
    <w:p w14:paraId="28F2EFFD" w14:textId="77777777" w:rsidR="002869DF" w:rsidRPr="00284463" w:rsidRDefault="002869DF" w:rsidP="002869DF">
      <w:pPr>
        <w:ind w:left="29"/>
        <w:jc w:val="both"/>
        <w:rPr>
          <w:lang w:val="cs-CZ"/>
        </w:rPr>
      </w:pPr>
      <w:r w:rsidRPr="00284463">
        <w:rPr>
          <w:lang w:val="cs-CZ"/>
        </w:rPr>
        <w:t xml:space="preserve">Do virtulního Female Military Officer Course (FMOC) byla nominována vojákyně v hodnosti nadporučice, která tento kurz absolvovala a hodnotila jako velmi pozitivní.  </w:t>
      </w:r>
    </w:p>
    <w:p w14:paraId="0AED7902" w14:textId="77777777" w:rsidR="002869DF" w:rsidRPr="00284463" w:rsidRDefault="002869DF" w:rsidP="002869DF">
      <w:pPr>
        <w:spacing w:before="120"/>
        <w:jc w:val="both"/>
        <w:rPr>
          <w:lang w:val="cs-CZ"/>
        </w:rPr>
      </w:pPr>
      <w:r w:rsidRPr="00284463">
        <w:rPr>
          <w:lang w:val="cs-CZ"/>
        </w:rPr>
        <w:t xml:space="preserve">VeV-VA organizuje mezirezortní přípravu před vysláním do zahraničních operací. V praktické úrovni se genderové hledisko diskutuje ve výcviku pro zástupce médií a v tématice související s mezinárodním humanitárním právem. V roce 2020 probíhala příprava za přísných hygienických opatření, což se promítlo i do této přípravy.  </w:t>
      </w:r>
    </w:p>
    <w:p w14:paraId="5347E8C3" w14:textId="77777777" w:rsidR="002869DF" w:rsidRPr="00284463" w:rsidRDefault="002869DF" w:rsidP="002869DF">
      <w:pPr>
        <w:spacing w:before="120"/>
        <w:jc w:val="both"/>
        <w:rPr>
          <w:lang w:val="cs-CZ"/>
        </w:rPr>
      </w:pPr>
      <w:r w:rsidRPr="00284463">
        <w:rPr>
          <w:i/>
          <w:lang w:val="cs-CZ"/>
        </w:rPr>
        <w:t xml:space="preserve">Vojenská střední škola a Vyšší odborná škola MO </w:t>
      </w:r>
      <w:r w:rsidRPr="00284463">
        <w:rPr>
          <w:lang w:val="cs-CZ"/>
        </w:rPr>
        <w:t xml:space="preserve">zařadila téma rovnosti mužů a žen do výuky studentů a studentek 3. ročníku čtyřletého studia, a to v rámci předmětu občanská nauka. Konkrétně se jednalo o tematický okruh “Člověk v lidském společenství“. </w:t>
      </w:r>
    </w:p>
    <w:p w14:paraId="08B97309" w14:textId="77777777" w:rsidR="002869DF" w:rsidRPr="00284463" w:rsidRDefault="002869DF" w:rsidP="002869DF">
      <w:pPr>
        <w:autoSpaceDE w:val="0"/>
        <w:autoSpaceDN w:val="0"/>
        <w:adjustRightInd w:val="0"/>
        <w:ind w:left="1416" w:hanging="1416"/>
        <w:jc w:val="both"/>
        <w:rPr>
          <w:i/>
          <w:lang w:val="cs-CZ"/>
        </w:rPr>
      </w:pPr>
    </w:p>
    <w:p w14:paraId="26260874" w14:textId="54F38B0D" w:rsidR="002869DF" w:rsidRPr="00284463" w:rsidRDefault="002869DF" w:rsidP="002869DF">
      <w:pPr>
        <w:spacing w:after="240"/>
        <w:jc w:val="both"/>
        <w:rPr>
          <w:color w:val="000000"/>
          <w:lang w:val="cs-CZ"/>
        </w:rPr>
      </w:pPr>
      <w:r w:rsidRPr="00284463">
        <w:rPr>
          <w:color w:val="000000"/>
          <w:lang w:val="cs-CZ"/>
        </w:rPr>
        <w:t xml:space="preserve">MV ve spolupráci s Ministerstvem zahraničních věcí a Mezinárodní organizací pro migraci (IOM) realizovalo i přes opatření v souvislosti s ochranou proti šíření nemoci Covid-19 </w:t>
      </w:r>
      <w:r w:rsidRPr="00284463">
        <w:rPr>
          <w:b/>
          <w:color w:val="000000"/>
          <w:lang w:val="cs-CZ"/>
        </w:rPr>
        <w:t>v průběhu roku 2020 dvě školení konzulárních pracovníků a pracovnic k problematice obchodování s lidmi</w:t>
      </w:r>
      <w:r w:rsidRPr="00284463">
        <w:rPr>
          <w:color w:val="000000"/>
          <w:lang w:val="cs-CZ"/>
        </w:rPr>
        <w:t xml:space="preserve">. Školení byla mj. </w:t>
      </w:r>
      <w:r w:rsidR="008B67E6" w:rsidRPr="00284463">
        <w:rPr>
          <w:color w:val="000000"/>
          <w:lang w:val="cs-CZ"/>
        </w:rPr>
        <w:t>z</w:t>
      </w:r>
      <w:r w:rsidRPr="00284463">
        <w:rPr>
          <w:color w:val="000000"/>
          <w:lang w:val="cs-CZ"/>
        </w:rPr>
        <w:t>aměřen</w:t>
      </w:r>
      <w:r w:rsidR="008B67E6" w:rsidRPr="00284463">
        <w:rPr>
          <w:color w:val="000000"/>
          <w:lang w:val="cs-CZ"/>
        </w:rPr>
        <w:t>a</w:t>
      </w:r>
      <w:r w:rsidRPr="00284463">
        <w:rPr>
          <w:color w:val="000000"/>
          <w:lang w:val="cs-CZ"/>
        </w:rPr>
        <w:t xml:space="preserve"> na otázky aktuální bezpečnostní situace ve světě, s ohledem na problematiku žen v místech válečných konfliktů.</w:t>
      </w:r>
    </w:p>
    <w:p w14:paraId="1C1F0E7A" w14:textId="77777777" w:rsidR="002869DF" w:rsidRPr="00284463" w:rsidRDefault="002869DF" w:rsidP="002869DF">
      <w:pPr>
        <w:spacing w:after="240"/>
        <w:jc w:val="both"/>
        <w:rPr>
          <w:color w:val="000000"/>
          <w:lang w:val="cs-CZ"/>
        </w:rPr>
      </w:pPr>
      <w:r w:rsidRPr="00284463">
        <w:rPr>
          <w:color w:val="000000"/>
          <w:lang w:val="cs-CZ"/>
        </w:rPr>
        <w:t xml:space="preserve">Obdobně jako v roce 2019, bylo i v roce 2020 obchodování s lidmi, jakožto závažná forma trestné činnosti, pojímáno ve své komplexnosti, včetně genderových aspektů. Pořádaná školení dané téma zpracovávají šířeji (i ve vztahu k dětem a mužům jako potenciálním obětem), avšak </w:t>
      </w:r>
      <w:r w:rsidRPr="00284463">
        <w:rPr>
          <w:b/>
          <w:color w:val="000000"/>
          <w:lang w:val="cs-CZ"/>
        </w:rPr>
        <w:t>při každé vzdělávací akci jsou vždy zdůrazňována genderová specifika, zejména ve vztahu k jednotlivým formám obchodování s lidmi</w:t>
      </w:r>
      <w:r w:rsidRPr="00284463">
        <w:rPr>
          <w:color w:val="000000"/>
          <w:lang w:val="cs-CZ"/>
        </w:rPr>
        <w:t>. MV také - shodně jako v předchozích letech - nadále aktualizuje a distribuuje ve spolupráci s neziskovými organizacemi informační materiály k dané problematice.</w:t>
      </w:r>
    </w:p>
    <w:p w14:paraId="6E7B2AF8" w14:textId="77777777" w:rsidR="002869DF" w:rsidRPr="00284463" w:rsidRDefault="002869DF" w:rsidP="002869DF">
      <w:pPr>
        <w:jc w:val="both"/>
        <w:rPr>
          <w:color w:val="000000"/>
          <w:lang w:val="cs-CZ"/>
        </w:rPr>
      </w:pPr>
      <w:r w:rsidRPr="00284463">
        <w:rPr>
          <w:color w:val="000000"/>
          <w:lang w:val="cs-CZ"/>
        </w:rPr>
        <w:t xml:space="preserve">Nová </w:t>
      </w:r>
      <w:r w:rsidRPr="00284463">
        <w:rPr>
          <w:b/>
          <w:color w:val="000000"/>
          <w:lang w:val="cs-CZ"/>
        </w:rPr>
        <w:t>Národní strategie boje proti obchodování s lidmi v České republice</w:t>
      </w:r>
      <w:r w:rsidRPr="00284463">
        <w:rPr>
          <w:color w:val="000000"/>
          <w:lang w:val="cs-CZ"/>
        </w:rPr>
        <w:t xml:space="preserve"> (tzv. OSL) byla schválena usnesením vlády ze dne 4. května 2020 č. 502. Základním cílem Národní strategie na období 2020–2023 je zvýšit informovanost o problematice a posílit ochranu a zvýšit standardy ochrany obětí obchodování s lidmi, a to prostřednictvím předcházení a potírání obchodování s lidmi, ochrany základních lidských práv obětí obchodování a podpory mezinárodní spolupráce při boji proti obchodování s lidmi. Průřezově Národní strategie 2020-2023 uplatňuje genderový mainstreaming vůči obětem obchodování s lidmi, dále zvláště citlivý přístup vůči obětem, u kterých byly použity zvláště závažné prostředky donucení, stejně tak specifický přístup k obětem ve více zranitelném postavení, jako jsou osoby ze sociálně vyloučených lokalit a migranti a migrantky. </w:t>
      </w:r>
      <w:r w:rsidRPr="00284463">
        <w:rPr>
          <w:color w:val="000000"/>
          <w:lang w:val="cs-CZ"/>
        </w:rPr>
        <w:cr/>
      </w:r>
    </w:p>
    <w:p w14:paraId="062C6555" w14:textId="32498F90" w:rsidR="002869DF" w:rsidRPr="00284463" w:rsidRDefault="002869DF" w:rsidP="002869DF">
      <w:pPr>
        <w:jc w:val="both"/>
        <w:rPr>
          <w:color w:val="000000"/>
          <w:lang w:val="cs-CZ"/>
        </w:rPr>
      </w:pPr>
      <w:r w:rsidRPr="00284463">
        <w:rPr>
          <w:color w:val="000000"/>
          <w:lang w:val="cs-CZ"/>
        </w:rPr>
        <w:t>Shodně jako v předchozích letech, rovněž v roce 2020 tvořilo</w:t>
      </w:r>
      <w:r w:rsidRPr="00284463">
        <w:rPr>
          <w:b/>
          <w:color w:val="000000"/>
          <w:lang w:val="cs-CZ"/>
        </w:rPr>
        <w:t xml:space="preserve"> školení k problematice genderově podmíněného násilí</w:t>
      </w:r>
      <w:r w:rsidRPr="00284463">
        <w:rPr>
          <w:color w:val="000000"/>
          <w:lang w:val="cs-CZ"/>
        </w:rPr>
        <w:t xml:space="preserve"> nedílnou součást </w:t>
      </w:r>
      <w:r w:rsidR="00284463" w:rsidRPr="00284463">
        <w:rPr>
          <w:color w:val="000000"/>
          <w:lang w:val="cs-CZ"/>
        </w:rPr>
        <w:t>před výjezdové</w:t>
      </w:r>
      <w:r w:rsidRPr="00284463">
        <w:rPr>
          <w:color w:val="000000"/>
          <w:lang w:val="cs-CZ"/>
        </w:rPr>
        <w:t xml:space="preserve"> přípravy každého policisty a policistky vstupujících do zahraniční mírové operace. Náplň školení vychází z materiálu United Nations Core Predeployment Training Material (UNCPTM) a oficiálních materiálů k </w:t>
      </w:r>
      <w:r w:rsidR="00284463" w:rsidRPr="00284463">
        <w:rPr>
          <w:color w:val="000000"/>
          <w:lang w:val="cs-CZ"/>
        </w:rPr>
        <w:t>před výjezdovým</w:t>
      </w:r>
      <w:r w:rsidRPr="00284463">
        <w:rPr>
          <w:color w:val="000000"/>
          <w:lang w:val="cs-CZ"/>
        </w:rPr>
        <w:t xml:space="preserve"> tréninkům pro společnou bezpečnostní a obrannou politiku (CSDP) mise; materiály jsou zpracovávány renomovanou European Security and Defence College (ESDC). Další školení na toto téma probíhají pravidelně na úrovni misí z iniciativy vedení mise a plně v souladu s koncepcemi EU a OSN.</w:t>
      </w:r>
    </w:p>
    <w:p w14:paraId="70381D75" w14:textId="77777777" w:rsidR="002869DF" w:rsidRPr="00284463" w:rsidRDefault="002869DF" w:rsidP="002869DF">
      <w:pPr>
        <w:jc w:val="both"/>
        <w:rPr>
          <w:color w:val="000000"/>
          <w:lang w:val="cs-CZ"/>
        </w:rPr>
      </w:pPr>
    </w:p>
    <w:p w14:paraId="33CEF875" w14:textId="77777777" w:rsidR="002869DF" w:rsidRPr="00284463" w:rsidRDefault="002869DF" w:rsidP="002869DF">
      <w:pPr>
        <w:jc w:val="both"/>
        <w:rPr>
          <w:color w:val="000000"/>
          <w:lang w:val="cs-CZ"/>
        </w:rPr>
      </w:pPr>
      <w:r w:rsidRPr="00284463">
        <w:rPr>
          <w:color w:val="000000"/>
          <w:lang w:val="cs-CZ"/>
        </w:rPr>
        <w:t xml:space="preserve">Všichni nově přijatí státní zaměstnanci a státní zaměstnankyně a zaměstnanci a zaměstnankyně MV absolvují vstupní vzdělávání úvodní, jehož součástí je i problematika rovnosti žen a mužů; </w:t>
      </w:r>
      <w:r w:rsidRPr="00284463">
        <w:rPr>
          <w:b/>
          <w:color w:val="000000"/>
          <w:lang w:val="cs-CZ"/>
        </w:rPr>
        <w:t>v roce 2020 bylo proškoleno 567 osob</w:t>
      </w:r>
      <w:r w:rsidRPr="00284463">
        <w:rPr>
          <w:color w:val="000000"/>
          <w:lang w:val="cs-CZ"/>
        </w:rPr>
        <w:t>. Na základě řádných individuálních vzdělávacích plánů bylo dále zabezpečeno školení pro 10 osob, které se v roce 2020 účastnily průběžného vzdělávání, konkrétně absolvovaly kurzy „</w:t>
      </w:r>
      <w:r w:rsidRPr="00284463">
        <w:rPr>
          <w:b/>
          <w:color w:val="000000"/>
          <w:lang w:val="cs-CZ"/>
        </w:rPr>
        <w:t>Rovné příležitosti žen a mužů v ČR a EU</w:t>
      </w:r>
      <w:r w:rsidRPr="00284463">
        <w:rPr>
          <w:color w:val="000000"/>
          <w:lang w:val="cs-CZ"/>
        </w:rPr>
        <w:t>“ a „</w:t>
      </w:r>
      <w:r w:rsidRPr="00284463">
        <w:rPr>
          <w:b/>
          <w:color w:val="000000"/>
          <w:lang w:val="cs-CZ"/>
        </w:rPr>
        <w:t>Proč a jak prosazovat rovnost žen a mužů v praxi</w:t>
      </w:r>
      <w:r w:rsidRPr="00284463">
        <w:rPr>
          <w:color w:val="000000"/>
          <w:lang w:val="cs-CZ"/>
        </w:rPr>
        <w:t>.“</w:t>
      </w:r>
    </w:p>
    <w:p w14:paraId="1A1375D1" w14:textId="3D642782" w:rsidR="00B17D3E" w:rsidRPr="00284463" w:rsidRDefault="00B17D3E" w:rsidP="005B4495">
      <w:pPr>
        <w:pStyle w:val="Nadpis2"/>
        <w:pBdr>
          <w:bottom w:val="single" w:sz="4" w:space="1" w:color="4F81BD"/>
        </w:pBdr>
        <w:rPr>
          <w:rFonts w:ascii="Times New Roman" w:hAnsi="Times New Roman"/>
          <w:i w:val="0"/>
          <w:color w:val="2F5496" w:themeColor="accent1" w:themeShade="BF"/>
          <w:sz w:val="24"/>
          <w:szCs w:val="24"/>
          <w:lang w:val="cs-CZ"/>
        </w:rPr>
      </w:pPr>
      <w:bookmarkStart w:id="20" w:name="_Toc39673336"/>
    </w:p>
    <w:p w14:paraId="59E73AFD" w14:textId="3AF9BEA4" w:rsidR="00EF240C" w:rsidRPr="00284463" w:rsidRDefault="00EF240C" w:rsidP="00F004BA">
      <w:pPr>
        <w:pStyle w:val="Nadpis2"/>
        <w:pBdr>
          <w:bottom w:val="single" w:sz="4" w:space="1" w:color="4F81BD"/>
        </w:pBdr>
        <w:rPr>
          <w:rFonts w:ascii="Times New Roman" w:hAnsi="Times New Roman"/>
          <w:i w:val="0"/>
          <w:color w:val="2F5496" w:themeColor="accent1" w:themeShade="BF"/>
          <w:lang w:val="cs-CZ"/>
        </w:rPr>
      </w:pPr>
      <w:r w:rsidRPr="00284463">
        <w:rPr>
          <w:rFonts w:ascii="Times New Roman" w:hAnsi="Times New Roman"/>
          <w:i w:val="0"/>
          <w:color w:val="2F5496" w:themeColor="accent1" w:themeShade="BF"/>
          <w:lang w:val="cs-CZ"/>
        </w:rPr>
        <w:t>Úkol č. 9</w:t>
      </w:r>
      <w:bookmarkEnd w:id="20"/>
    </w:p>
    <w:p w14:paraId="16CEDEAB" w14:textId="77777777" w:rsidR="00052CA2" w:rsidRPr="00284463" w:rsidRDefault="00BB40FD" w:rsidP="00850AAF">
      <w:pPr>
        <w:snapToGrid w:val="0"/>
        <w:spacing w:after="120" w:line="276" w:lineRule="auto"/>
        <w:jc w:val="both"/>
        <w:rPr>
          <w:b/>
          <w:bCs/>
          <w:sz w:val="22"/>
          <w:szCs w:val="22"/>
          <w:lang w:val="cs-CZ"/>
        </w:rPr>
      </w:pPr>
      <w:r w:rsidRPr="00284463">
        <w:rPr>
          <w:b/>
          <w:lang w:val="cs-CZ"/>
        </w:rPr>
        <w:t xml:space="preserve">Obecný cíl: </w:t>
      </w:r>
      <w:r w:rsidR="00EF240C" w:rsidRPr="00284463">
        <w:rPr>
          <w:b/>
          <w:bCs/>
          <w:lang w:val="cs-CZ"/>
        </w:rPr>
        <w:t>Aktivní účast odborných zástupců a zástupkyň MZV, MO, MV, vojáků a vojákyň na mezinárodních vzdělávacích</w:t>
      </w:r>
      <w:r w:rsidR="00EF240C" w:rsidRPr="00284463">
        <w:rPr>
          <w:b/>
          <w:bCs/>
          <w:sz w:val="22"/>
          <w:szCs w:val="22"/>
          <w:lang w:val="cs-CZ"/>
        </w:rPr>
        <w:t xml:space="preserve"> akcích a konferencích k problematice WPS</w:t>
      </w:r>
    </w:p>
    <w:p w14:paraId="19410909" w14:textId="77777777" w:rsidR="00EF240C" w:rsidRPr="00284463" w:rsidRDefault="00EF240C" w:rsidP="00850AAF">
      <w:pPr>
        <w:snapToGrid w:val="0"/>
        <w:spacing w:after="120" w:line="276" w:lineRule="auto"/>
        <w:jc w:val="both"/>
        <w:rPr>
          <w:lang w:val="cs-CZ"/>
        </w:rPr>
      </w:pPr>
      <w:r w:rsidRPr="00284463">
        <w:rPr>
          <w:lang w:val="cs-CZ"/>
        </w:rPr>
        <w:t>Úkol:</w:t>
      </w:r>
    </w:p>
    <w:p w14:paraId="6F04599C" w14:textId="77777777" w:rsidR="00EF240C" w:rsidRPr="00284463" w:rsidRDefault="00EF240C" w:rsidP="00850AAF">
      <w:pPr>
        <w:numPr>
          <w:ilvl w:val="0"/>
          <w:numId w:val="4"/>
        </w:numPr>
        <w:snapToGrid w:val="0"/>
        <w:spacing w:after="120" w:line="276" w:lineRule="auto"/>
        <w:jc w:val="both"/>
        <w:rPr>
          <w:lang w:val="cs-CZ"/>
        </w:rPr>
      </w:pPr>
      <w:r w:rsidRPr="00284463">
        <w:rPr>
          <w:bCs/>
          <w:lang w:val="cs-CZ"/>
        </w:rPr>
        <w:t>Podporovat účast odborných zástupců a zástupkyň MZV, MO, MV, vojáků a vojákyň AČR na mezinárodních vzdělávacích akcích a konferencích k problematice WPS</w:t>
      </w:r>
      <w:r w:rsidR="0094663D" w:rsidRPr="00284463">
        <w:rPr>
          <w:bCs/>
          <w:lang w:val="cs-CZ"/>
        </w:rPr>
        <w:t>.</w:t>
      </w:r>
    </w:p>
    <w:p w14:paraId="71FAA20E" w14:textId="3672CF48" w:rsidR="00185042" w:rsidRPr="00284463" w:rsidRDefault="006A6125" w:rsidP="00185042">
      <w:pPr>
        <w:jc w:val="both"/>
        <w:rPr>
          <w:color w:val="000000"/>
          <w:lang w:val="cs-CZ"/>
        </w:rPr>
      </w:pPr>
      <w:r w:rsidRPr="00284463">
        <w:rPr>
          <w:lang w:val="cs-CZ"/>
        </w:rPr>
        <w:t>Vzdělávací kurikulum Evropského podpůrného úřadu pr</w:t>
      </w:r>
      <w:r w:rsidR="004B2B49" w:rsidRPr="00284463">
        <w:rPr>
          <w:lang w:val="cs-CZ"/>
        </w:rPr>
        <w:t>o otázky azylu</w:t>
      </w:r>
      <w:r w:rsidRPr="00284463">
        <w:rPr>
          <w:lang w:val="cs-CZ"/>
        </w:rPr>
        <w:t xml:space="preserve"> </w:t>
      </w:r>
      <w:r w:rsidR="003B3446" w:rsidRPr="00284463">
        <w:rPr>
          <w:lang w:val="cs-CZ"/>
        </w:rPr>
        <w:t xml:space="preserve">umožňuje </w:t>
      </w:r>
      <w:r w:rsidRPr="00284463">
        <w:rPr>
          <w:lang w:val="cs-CZ"/>
        </w:rPr>
        <w:t>členským státům zvýšit kapacitu a kvalitu vnitrostátních azylových služeb a přispívá k implementaci společného evropského azylového systému.</w:t>
      </w:r>
      <w:r w:rsidR="00185042" w:rsidRPr="00284463">
        <w:rPr>
          <w:color w:val="000000"/>
          <w:lang w:val="cs-CZ"/>
        </w:rPr>
        <w:t xml:space="preserve"> Portfolio vzdělávacího kurikula úřadu EASO obsahuje celkem 21 vzdělávacích modulů zaměřujících se na problematiku mezinárodní ochrany, mimo jiné i školení zaměřené na gender, obchodování s lidmi, lidská práva, </w:t>
      </w:r>
      <w:r w:rsidR="00284463" w:rsidRPr="00284463">
        <w:rPr>
          <w:color w:val="000000"/>
          <w:lang w:val="cs-CZ"/>
        </w:rPr>
        <w:t>atd., jejichž</w:t>
      </w:r>
      <w:r w:rsidR="00185042" w:rsidRPr="00284463">
        <w:rPr>
          <w:color w:val="000000"/>
          <w:lang w:val="cs-CZ"/>
        </w:rPr>
        <w:t xml:space="preserve"> cílem je zvýšit kvalitu vnitrostátních azylových služeb v rámci členských států a přispět k implementaci společného evropského azylového systému.</w:t>
      </w:r>
    </w:p>
    <w:p w14:paraId="501E687B" w14:textId="77777777" w:rsidR="00185042" w:rsidRPr="00284463" w:rsidRDefault="00185042" w:rsidP="00185042">
      <w:pPr>
        <w:jc w:val="both"/>
        <w:rPr>
          <w:color w:val="000000"/>
          <w:lang w:val="cs-CZ"/>
        </w:rPr>
      </w:pPr>
    </w:p>
    <w:p w14:paraId="3727D5FE" w14:textId="1124E97F" w:rsidR="00185042" w:rsidRPr="00284463" w:rsidRDefault="00185042" w:rsidP="002974EB">
      <w:pPr>
        <w:jc w:val="both"/>
        <w:rPr>
          <w:color w:val="000000"/>
          <w:lang w:val="cs-CZ"/>
        </w:rPr>
      </w:pPr>
      <w:r w:rsidRPr="00284463">
        <w:rPr>
          <w:color w:val="000000"/>
          <w:lang w:val="cs-CZ"/>
        </w:rPr>
        <w:t>Oblast vzdělávacích akcí a školení realizovaných ve spolupráci s úřadem EASO v roce 2020 byla již v samém počátku roku 2020 negativně ovlivněna v rámci celého resortu MV rychle se rozvíjející globální pandemií Covid-19. Oproti roku 2019, kdy se MV úspěšně dařilo zabezpečit genderově vyvážený profil účastníků/účastnic a v rámci devíti realizovaných školících akcí bylo úspěšně proškoleno celkem 24 žen a 21 mužů z řad zaměstnanců a zaměstnankyň MV, v roce 2020 dlouhodobě špatná epidemiologická situace, která byla doprovázená zásadními omezeními možností setkávání více osob najednou a zároveň restriktivními opatřeními v oblasti cestování, nedovolila realizovat předem plánované školící aktivity v oblasti Dublinského řízení a Společného evropského azylového systému (CEAS); náhrady plánovaných školení proběhnou dle možností v roce 2021.</w:t>
      </w:r>
    </w:p>
    <w:p w14:paraId="7F0EFFE3" w14:textId="57206E14" w:rsidR="00D36E22" w:rsidRPr="00284463" w:rsidRDefault="006A6125" w:rsidP="002974EB">
      <w:pPr>
        <w:snapToGrid w:val="0"/>
        <w:spacing w:line="276" w:lineRule="auto"/>
        <w:jc w:val="both"/>
        <w:rPr>
          <w:sz w:val="22"/>
          <w:szCs w:val="22"/>
          <w:lang w:val="cs-CZ"/>
        </w:rPr>
      </w:pPr>
      <w:r w:rsidRPr="00284463">
        <w:rPr>
          <w:sz w:val="22"/>
          <w:szCs w:val="22"/>
          <w:lang w:val="cs-CZ"/>
        </w:rPr>
        <w:t xml:space="preserve"> </w:t>
      </w:r>
    </w:p>
    <w:p w14:paraId="6A515678" w14:textId="77777777" w:rsidR="00872A5C" w:rsidRPr="00284463" w:rsidRDefault="00872A5C" w:rsidP="002974EB">
      <w:pPr>
        <w:snapToGrid w:val="0"/>
        <w:spacing w:line="276" w:lineRule="auto"/>
        <w:jc w:val="both"/>
        <w:rPr>
          <w:lang w:val="cs-CZ"/>
        </w:rPr>
      </w:pPr>
    </w:p>
    <w:p w14:paraId="4D6F31C7" w14:textId="77777777" w:rsidR="00052CA2" w:rsidRPr="00284463" w:rsidRDefault="00052CA2" w:rsidP="002974EB">
      <w:pPr>
        <w:snapToGrid w:val="0"/>
        <w:spacing w:line="276" w:lineRule="auto"/>
        <w:rPr>
          <w:sz w:val="22"/>
          <w:szCs w:val="22"/>
          <w:lang w:val="cs-CZ"/>
        </w:rPr>
      </w:pPr>
    </w:p>
    <w:p w14:paraId="3DD5869F" w14:textId="5B5F6FFF" w:rsidR="00052CA2" w:rsidRPr="00284463" w:rsidRDefault="00052CA2" w:rsidP="00F004BA">
      <w:pPr>
        <w:pStyle w:val="Nadpis1"/>
        <w:pageBreakBefore/>
        <w:numPr>
          <w:ilvl w:val="0"/>
          <w:numId w:val="9"/>
        </w:numPr>
        <w:pBdr>
          <w:top w:val="single" w:sz="4" w:space="1" w:color="4F81BD"/>
          <w:left w:val="single" w:sz="4" w:space="4" w:color="4F81BD"/>
          <w:bottom w:val="single" w:sz="4" w:space="1" w:color="4F81BD"/>
          <w:right w:val="single" w:sz="4" w:space="4" w:color="4F81BD"/>
          <w:between w:val="single" w:sz="4" w:space="1" w:color="4F81BD"/>
          <w:bar w:val="single" w:sz="4" w:color="4F81BD"/>
        </w:pBdr>
        <w:spacing w:before="0" w:after="0"/>
        <w:ind w:left="0" w:hanging="357"/>
        <w:rPr>
          <w:rFonts w:ascii="Times New Roman" w:hAnsi="Times New Roman"/>
          <w:color w:val="2F5496" w:themeColor="accent1" w:themeShade="BF"/>
          <w:sz w:val="28"/>
          <w:szCs w:val="28"/>
          <w:lang w:val="cs-CZ"/>
        </w:rPr>
      </w:pPr>
      <w:bookmarkStart w:id="21" w:name="_Toc469998694"/>
      <w:bookmarkStart w:id="22" w:name="_Toc8495769"/>
      <w:bookmarkStart w:id="23" w:name="_Toc39673337"/>
      <w:r w:rsidRPr="00284463">
        <w:rPr>
          <w:rFonts w:ascii="Times New Roman" w:hAnsi="Times New Roman"/>
          <w:color w:val="2F5496" w:themeColor="accent1" w:themeShade="BF"/>
          <w:sz w:val="28"/>
          <w:szCs w:val="28"/>
          <w:lang w:val="cs-CZ"/>
        </w:rPr>
        <w:lastRenderedPageBreak/>
        <w:t>Mezinárodní spolupráce na prosazování problematiky WPS</w:t>
      </w:r>
      <w:bookmarkEnd w:id="21"/>
      <w:bookmarkEnd w:id="22"/>
      <w:bookmarkEnd w:id="23"/>
    </w:p>
    <w:p w14:paraId="439A47BF" w14:textId="77777777" w:rsidR="00052CA2" w:rsidRPr="00284463" w:rsidRDefault="00052CA2" w:rsidP="00850AAF">
      <w:pPr>
        <w:snapToGrid w:val="0"/>
        <w:spacing w:after="120" w:line="276" w:lineRule="auto"/>
        <w:rPr>
          <w:sz w:val="22"/>
          <w:szCs w:val="22"/>
          <w:lang w:val="cs-CZ"/>
        </w:rPr>
      </w:pPr>
    </w:p>
    <w:p w14:paraId="10BF36E4" w14:textId="77777777" w:rsidR="00EF240C" w:rsidRPr="00284463" w:rsidRDefault="00EF240C" w:rsidP="00850AAF">
      <w:pPr>
        <w:pStyle w:val="Nadpis2"/>
        <w:pBdr>
          <w:bottom w:val="single" w:sz="4" w:space="1" w:color="4F81BD"/>
        </w:pBdr>
        <w:spacing w:line="276" w:lineRule="auto"/>
        <w:rPr>
          <w:rFonts w:ascii="Times New Roman" w:hAnsi="Times New Roman"/>
          <w:i w:val="0"/>
          <w:color w:val="2F5496" w:themeColor="accent1" w:themeShade="BF"/>
          <w:lang w:val="cs-CZ"/>
        </w:rPr>
      </w:pPr>
      <w:bookmarkStart w:id="24" w:name="_Toc39673338"/>
      <w:r w:rsidRPr="00284463">
        <w:rPr>
          <w:rFonts w:ascii="Times New Roman" w:hAnsi="Times New Roman"/>
          <w:i w:val="0"/>
          <w:color w:val="2F5496" w:themeColor="accent1" w:themeShade="BF"/>
          <w:lang w:val="cs-CZ"/>
        </w:rPr>
        <w:t>Úkol č. 10</w:t>
      </w:r>
      <w:bookmarkEnd w:id="24"/>
    </w:p>
    <w:p w14:paraId="12A98DC4" w14:textId="77777777" w:rsidR="00EF240C" w:rsidRPr="00284463" w:rsidRDefault="00BB40FD" w:rsidP="00850AAF">
      <w:pPr>
        <w:snapToGrid w:val="0"/>
        <w:spacing w:after="120" w:line="276" w:lineRule="auto"/>
        <w:rPr>
          <w:b/>
          <w:lang w:val="cs-CZ"/>
        </w:rPr>
      </w:pPr>
      <w:r w:rsidRPr="00284463">
        <w:rPr>
          <w:b/>
          <w:lang w:val="cs-CZ"/>
        </w:rPr>
        <w:t xml:space="preserve">Obecný cíl: </w:t>
      </w:r>
      <w:r w:rsidR="00EF240C" w:rsidRPr="00284463">
        <w:rPr>
          <w:b/>
          <w:lang w:val="cs-CZ"/>
        </w:rPr>
        <w:t>I nadále integrovat genderovou dimenzi</w:t>
      </w:r>
      <w:r w:rsidR="00EF240C" w:rsidRPr="00284463">
        <w:rPr>
          <w:b/>
          <w:color w:val="C00000"/>
          <w:lang w:val="cs-CZ"/>
        </w:rPr>
        <w:t xml:space="preserve"> </w:t>
      </w:r>
      <w:r w:rsidR="00EF240C" w:rsidRPr="00284463">
        <w:rPr>
          <w:b/>
          <w:lang w:val="cs-CZ"/>
        </w:rPr>
        <w:t>do zahraniční politiky ČR</w:t>
      </w:r>
    </w:p>
    <w:p w14:paraId="0DB04FE1" w14:textId="77777777" w:rsidR="00EF240C" w:rsidRPr="00284463" w:rsidRDefault="00EF240C" w:rsidP="00850AAF">
      <w:pPr>
        <w:snapToGrid w:val="0"/>
        <w:spacing w:after="120" w:line="276" w:lineRule="auto"/>
        <w:rPr>
          <w:lang w:val="cs-CZ"/>
        </w:rPr>
      </w:pPr>
      <w:r w:rsidRPr="00284463">
        <w:rPr>
          <w:lang w:val="cs-CZ"/>
        </w:rPr>
        <w:t>Úkol:</w:t>
      </w:r>
    </w:p>
    <w:p w14:paraId="3FF51CA4" w14:textId="77777777" w:rsidR="00EF240C" w:rsidRPr="00284463" w:rsidRDefault="00EF240C" w:rsidP="00850AAF">
      <w:pPr>
        <w:numPr>
          <w:ilvl w:val="0"/>
          <w:numId w:val="4"/>
        </w:numPr>
        <w:snapToGrid w:val="0"/>
        <w:spacing w:after="120" w:line="276" w:lineRule="auto"/>
        <w:rPr>
          <w:lang w:val="cs-CZ"/>
        </w:rPr>
      </w:pPr>
      <w:r w:rsidRPr="00284463">
        <w:rPr>
          <w:lang w:val="cs-CZ"/>
        </w:rPr>
        <w:t>Při formulování zahraniční politiky ČR zohledňovat genderovou dimenzi včetně problematiky WPS</w:t>
      </w:r>
      <w:r w:rsidR="0094663D" w:rsidRPr="00284463">
        <w:rPr>
          <w:lang w:val="cs-CZ"/>
        </w:rPr>
        <w:t>.</w:t>
      </w:r>
    </w:p>
    <w:p w14:paraId="70EFA66B" w14:textId="393B8E43" w:rsidR="00C3576A" w:rsidRPr="00284463" w:rsidRDefault="00C3576A" w:rsidP="00C3576A">
      <w:pPr>
        <w:snapToGrid w:val="0"/>
        <w:spacing w:after="120"/>
        <w:jc w:val="both"/>
        <w:rPr>
          <w:i/>
          <w:iCs/>
          <w:lang w:val="cs-CZ"/>
        </w:rPr>
      </w:pPr>
      <w:r w:rsidRPr="00284463">
        <w:rPr>
          <w:lang w:val="cs-CZ"/>
        </w:rPr>
        <w:t xml:space="preserve">Ochrana lidských práv a základních svobod spolu s podporou demokracie patří i nadále ke stěžejním cílům zahraniční politiky České republiky. </w:t>
      </w:r>
      <w:r w:rsidRPr="00284463">
        <w:rPr>
          <w:i/>
          <w:iCs/>
          <w:lang w:val="cs-CZ"/>
        </w:rPr>
        <w:t xml:space="preserve">Koncepce zahraniční politiky České republiky </w:t>
      </w:r>
      <w:r w:rsidRPr="00284463">
        <w:rPr>
          <w:lang w:val="cs-CZ"/>
        </w:rPr>
        <w:t>schválená vládou dne 13. července 2015, v sekci 4.3 Lidská důstojnost a lidská práva uvádí, že: „</w:t>
      </w:r>
      <w:r w:rsidRPr="00284463">
        <w:rPr>
          <w:i/>
          <w:iCs/>
          <w:lang w:val="cs-CZ"/>
        </w:rPr>
        <w:t xml:space="preserve">Česká republika bude rovněž usilovat o celosvětové posílení postavení žen ve společnosti. Ačkoli tato podpora bude zpravidla součástí obecné podpory lidských práv, bude se ČR touto agendou aktivněji profilovat v rámci OSN, neboť ji pokládá za závažný celosvětový problém, který nelze redukovat na otázky lidskoprávní či rozvojové. ČR se zvláště zaměří na otázky spojené s účastí žen na veřejném životě.“ </w:t>
      </w:r>
    </w:p>
    <w:p w14:paraId="34D04910" w14:textId="77777777" w:rsidR="00C3576A" w:rsidRPr="00284463" w:rsidRDefault="00C3576A" w:rsidP="00C3576A">
      <w:pPr>
        <w:snapToGrid w:val="0"/>
        <w:spacing w:after="120"/>
        <w:jc w:val="both"/>
        <w:rPr>
          <w:i/>
          <w:iCs/>
          <w:lang w:val="cs-CZ"/>
        </w:rPr>
      </w:pPr>
      <w:r w:rsidRPr="00284463">
        <w:rPr>
          <w:i/>
          <w:iCs/>
          <w:lang w:val="cs-CZ"/>
        </w:rPr>
        <w:t xml:space="preserve">Koncepce podpory lidských práv a transformační spolupráce </w:t>
      </w:r>
      <w:r w:rsidRPr="00284463">
        <w:rPr>
          <w:lang w:val="cs-CZ"/>
        </w:rPr>
        <w:t xml:space="preserve">uvádí jako jednu z tematických priorit rovnost a nediskriminaci, ve které je explicitně zahrnuta i rovnost žen a mužů. Koncepce mj. stanoví, že </w:t>
      </w:r>
      <w:r w:rsidRPr="00284463">
        <w:rPr>
          <w:b/>
          <w:bCs/>
          <w:lang w:val="cs-CZ"/>
        </w:rPr>
        <w:t>Česká republika bude v mezinárodních organizacích podporovat rovné příležitosti žen a mužů, ekonomickou samostatnost žen a jejich participaci na politickém a veřejném životě</w:t>
      </w:r>
      <w:r w:rsidRPr="00284463">
        <w:rPr>
          <w:lang w:val="cs-CZ"/>
        </w:rPr>
        <w:t>; na jednáních OSN bude aktivně vystupovat proti násilí na ženách a dívkách, včetně sexuálního násilí v ozbrojených konfliktech. V rámci politiky podpory lidských práv a transformační spolupráce ČR podpoří zvyšování zapojení žen do veřejného rozhodování na všech úrovních, což je potvrzeno v prioritě č. 4 „podpora rovné politické a veřejné participace“.</w:t>
      </w:r>
    </w:p>
    <w:p w14:paraId="6ED3267D" w14:textId="77777777" w:rsidR="00C3576A" w:rsidRPr="00284463" w:rsidRDefault="00C3576A" w:rsidP="007554FF">
      <w:pPr>
        <w:snapToGrid w:val="0"/>
        <w:spacing w:after="120" w:line="276" w:lineRule="auto"/>
        <w:rPr>
          <w:lang w:val="cs-CZ"/>
        </w:rPr>
      </w:pPr>
    </w:p>
    <w:p w14:paraId="39A0535D" w14:textId="77777777" w:rsidR="008E78B4" w:rsidRPr="00284463" w:rsidRDefault="008E78B4" w:rsidP="00F004BA">
      <w:pPr>
        <w:pStyle w:val="Nadpis2"/>
        <w:pBdr>
          <w:bottom w:val="single" w:sz="4" w:space="1" w:color="4F81BD"/>
        </w:pBdr>
        <w:rPr>
          <w:rFonts w:ascii="Times New Roman" w:hAnsi="Times New Roman"/>
          <w:i w:val="0"/>
          <w:color w:val="2F5496" w:themeColor="accent1" w:themeShade="BF"/>
          <w:lang w:val="cs-CZ"/>
        </w:rPr>
      </w:pPr>
      <w:bookmarkStart w:id="25" w:name="_Toc39673339"/>
      <w:r w:rsidRPr="00284463">
        <w:rPr>
          <w:rFonts w:ascii="Times New Roman" w:hAnsi="Times New Roman"/>
          <w:i w:val="0"/>
          <w:color w:val="2F5496" w:themeColor="accent1" w:themeShade="BF"/>
          <w:lang w:val="cs-CZ"/>
        </w:rPr>
        <w:t>Úkol č. 11</w:t>
      </w:r>
      <w:bookmarkEnd w:id="25"/>
    </w:p>
    <w:p w14:paraId="56AAFA97" w14:textId="77777777" w:rsidR="008E78B4" w:rsidRPr="00284463" w:rsidRDefault="008E78B4" w:rsidP="008E78B4">
      <w:pPr>
        <w:snapToGrid w:val="0"/>
        <w:spacing w:after="120" w:line="276" w:lineRule="auto"/>
        <w:rPr>
          <w:lang w:val="cs-CZ"/>
        </w:rPr>
      </w:pPr>
      <w:r w:rsidRPr="00284463">
        <w:rPr>
          <w:b/>
          <w:lang w:val="cs-CZ"/>
        </w:rPr>
        <w:t>Obecný cíl: Podpora agencií OSN v implementaci problematiky WPS</w:t>
      </w:r>
    </w:p>
    <w:p w14:paraId="785C4A98" w14:textId="77777777" w:rsidR="008E78B4" w:rsidRPr="00284463" w:rsidRDefault="008E78B4" w:rsidP="008E78B4">
      <w:pPr>
        <w:snapToGrid w:val="0"/>
        <w:spacing w:after="120" w:line="276" w:lineRule="auto"/>
        <w:rPr>
          <w:lang w:val="cs-CZ"/>
        </w:rPr>
      </w:pPr>
      <w:r w:rsidRPr="00284463">
        <w:rPr>
          <w:lang w:val="cs-CZ"/>
        </w:rPr>
        <w:t>Úkol:</w:t>
      </w:r>
    </w:p>
    <w:p w14:paraId="07A69DF6" w14:textId="77777777" w:rsidR="008E78B4" w:rsidRPr="00284463" w:rsidRDefault="008E78B4" w:rsidP="008E78B4">
      <w:pPr>
        <w:numPr>
          <w:ilvl w:val="0"/>
          <w:numId w:val="4"/>
        </w:numPr>
        <w:snapToGrid w:val="0"/>
        <w:spacing w:after="120" w:line="276" w:lineRule="auto"/>
        <w:rPr>
          <w:lang w:val="cs-CZ"/>
        </w:rPr>
      </w:pPr>
      <w:r w:rsidRPr="00284463">
        <w:rPr>
          <w:lang w:val="cs-CZ"/>
        </w:rPr>
        <w:t>Podpora činnosti OSN, zejména UN WOMEN mj. pravidelným hrazením příspěvku na činnost organizace.</w:t>
      </w:r>
    </w:p>
    <w:p w14:paraId="1E0699D8" w14:textId="77777777" w:rsidR="00B95B4C" w:rsidRPr="00284463" w:rsidRDefault="00B95B4C" w:rsidP="00B95B4C">
      <w:pPr>
        <w:snapToGrid w:val="0"/>
        <w:spacing w:after="120" w:line="276" w:lineRule="auto"/>
        <w:ind w:left="720"/>
        <w:rPr>
          <w:lang w:val="cs-CZ"/>
        </w:rPr>
      </w:pPr>
    </w:p>
    <w:p w14:paraId="7E48C523" w14:textId="21E74F08" w:rsidR="00052CA2" w:rsidRPr="00284463" w:rsidRDefault="00C3576A" w:rsidP="00506815">
      <w:pPr>
        <w:snapToGrid w:val="0"/>
        <w:spacing w:after="120"/>
        <w:jc w:val="both"/>
        <w:rPr>
          <w:lang w:val="cs-CZ"/>
        </w:rPr>
      </w:pPr>
      <w:r w:rsidRPr="00284463">
        <w:rPr>
          <w:lang w:val="cs-CZ"/>
        </w:rPr>
        <w:t>ČR v roce 2020</w:t>
      </w:r>
      <w:r w:rsidR="003B0802" w:rsidRPr="00284463">
        <w:rPr>
          <w:lang w:val="cs-CZ"/>
        </w:rPr>
        <w:t xml:space="preserve"> finančně podpořila </w:t>
      </w:r>
      <w:r w:rsidR="003B0802" w:rsidRPr="00284463">
        <w:rPr>
          <w:i/>
          <w:lang w:val="cs-CZ"/>
        </w:rPr>
        <w:t>United Nations Entity for Gender Equality and the Empowerment of Women</w:t>
      </w:r>
      <w:r w:rsidR="003B0802" w:rsidRPr="00284463">
        <w:rPr>
          <w:lang w:val="cs-CZ"/>
        </w:rPr>
        <w:t xml:space="preserve"> (</w:t>
      </w:r>
      <w:r w:rsidR="003B0802" w:rsidRPr="00284463">
        <w:rPr>
          <w:b/>
          <w:lang w:val="cs-CZ"/>
        </w:rPr>
        <w:t>UN WOMEN</w:t>
      </w:r>
      <w:r w:rsidR="003B0802" w:rsidRPr="00284463">
        <w:rPr>
          <w:lang w:val="cs-CZ"/>
        </w:rPr>
        <w:t xml:space="preserve">) </w:t>
      </w:r>
      <w:r w:rsidR="00A01DBB" w:rsidRPr="00284463">
        <w:rPr>
          <w:b/>
          <w:lang w:val="cs-CZ"/>
        </w:rPr>
        <w:t>příspěvkem 4</w:t>
      </w:r>
      <w:r w:rsidR="003B0802" w:rsidRPr="00284463">
        <w:rPr>
          <w:b/>
          <w:lang w:val="cs-CZ"/>
        </w:rPr>
        <w:t>00 000 Kč</w:t>
      </w:r>
      <w:r w:rsidR="003B0802" w:rsidRPr="00284463">
        <w:rPr>
          <w:lang w:val="cs-CZ"/>
        </w:rPr>
        <w:t>. Pravidelný příspěvek UN WO</w:t>
      </w:r>
      <w:r w:rsidR="004E4AF8" w:rsidRPr="00284463">
        <w:rPr>
          <w:lang w:val="cs-CZ"/>
        </w:rPr>
        <w:t>MEN poskytuje ČR od roku 2014</w:t>
      </w:r>
      <w:r w:rsidR="00D622F7" w:rsidRPr="00284463">
        <w:rPr>
          <w:lang w:val="cs-CZ"/>
        </w:rPr>
        <w:t xml:space="preserve"> a</w:t>
      </w:r>
      <w:r w:rsidR="004E4AF8" w:rsidRPr="00284463">
        <w:rPr>
          <w:lang w:val="cs-CZ"/>
        </w:rPr>
        <w:t xml:space="preserve"> r</w:t>
      </w:r>
      <w:r w:rsidR="003B0802" w:rsidRPr="00284463">
        <w:rPr>
          <w:lang w:val="cs-CZ"/>
        </w:rPr>
        <w:t>ozhodnutím ministra zahraničn</w:t>
      </w:r>
      <w:r w:rsidR="004E4AF8" w:rsidRPr="00284463">
        <w:rPr>
          <w:lang w:val="cs-CZ"/>
        </w:rPr>
        <w:t>ích věcí</w:t>
      </w:r>
      <w:r w:rsidR="003B0802" w:rsidRPr="00284463">
        <w:rPr>
          <w:lang w:val="cs-CZ"/>
        </w:rPr>
        <w:t xml:space="preserve"> </w:t>
      </w:r>
      <w:r w:rsidR="00D622F7" w:rsidRPr="00284463">
        <w:rPr>
          <w:lang w:val="cs-CZ"/>
        </w:rPr>
        <w:t xml:space="preserve">bylo </w:t>
      </w:r>
      <w:r w:rsidR="003B0802" w:rsidRPr="00284463">
        <w:rPr>
          <w:lang w:val="cs-CZ"/>
        </w:rPr>
        <w:t>stanoveno, že ČR bude poskytovat dobrovolný příspěvek UN WOMEN v min. výši 300 000 Kč do roku 2023, kdy ČR hodlá kandidovat do Komise OSN pro postavení žen.</w:t>
      </w:r>
    </w:p>
    <w:p w14:paraId="48BFCF78" w14:textId="5605BA87" w:rsidR="003B0802" w:rsidRPr="00284463" w:rsidRDefault="00C3576A" w:rsidP="00506815">
      <w:pPr>
        <w:snapToGrid w:val="0"/>
        <w:spacing w:after="120"/>
        <w:jc w:val="both"/>
        <w:rPr>
          <w:lang w:val="cs-CZ"/>
        </w:rPr>
      </w:pPr>
      <w:r w:rsidRPr="00284463">
        <w:rPr>
          <w:lang w:val="cs-CZ"/>
        </w:rPr>
        <w:t>ČR</w:t>
      </w:r>
      <w:r w:rsidR="00F31F39" w:rsidRPr="00284463">
        <w:rPr>
          <w:lang w:val="cs-CZ"/>
        </w:rPr>
        <w:t xml:space="preserve"> v roce 2020</w:t>
      </w:r>
      <w:r w:rsidR="00050333" w:rsidRPr="00284463">
        <w:rPr>
          <w:lang w:val="cs-CZ"/>
        </w:rPr>
        <w:t xml:space="preserve"> podpořila </w:t>
      </w:r>
      <w:r w:rsidR="003B0802" w:rsidRPr="00284463">
        <w:rPr>
          <w:b/>
          <w:lang w:val="cs-CZ"/>
        </w:rPr>
        <w:t>Úřad vysokého komisaře pro lidská práva</w:t>
      </w:r>
      <w:r w:rsidR="00050333" w:rsidRPr="00284463">
        <w:rPr>
          <w:lang w:val="cs-CZ"/>
        </w:rPr>
        <w:t xml:space="preserve"> (OHCHR) částkou</w:t>
      </w:r>
      <w:r w:rsidR="00022456" w:rsidRPr="00284463">
        <w:rPr>
          <w:lang w:val="cs-CZ"/>
        </w:rPr>
        <w:t xml:space="preserve"> 2 0</w:t>
      </w:r>
      <w:r w:rsidR="003B0802" w:rsidRPr="00284463">
        <w:rPr>
          <w:lang w:val="cs-CZ"/>
        </w:rPr>
        <w:t>00 000 Kč</w:t>
      </w:r>
      <w:r w:rsidR="00F31F39" w:rsidRPr="00284463">
        <w:rPr>
          <w:lang w:val="cs-CZ"/>
        </w:rPr>
        <w:t>.</w:t>
      </w:r>
    </w:p>
    <w:p w14:paraId="21A05A9C" w14:textId="5D104553" w:rsidR="003F6A02" w:rsidRPr="00284463" w:rsidRDefault="003F6A02" w:rsidP="00506815">
      <w:pPr>
        <w:snapToGrid w:val="0"/>
        <w:spacing w:after="120"/>
        <w:jc w:val="both"/>
        <w:rPr>
          <w:lang w:val="cs-CZ"/>
        </w:rPr>
      </w:pPr>
      <w:r w:rsidRPr="00284463">
        <w:rPr>
          <w:lang w:val="cs-CZ"/>
        </w:rPr>
        <w:t xml:space="preserve">Nedílnou součástí koncepce české zahraniční politiky je i podpora mezinárodního trestního soudnictví. Česká republika je smluvní stranou Římského statutu Mezinárodního trestního </w:t>
      </w:r>
      <w:r w:rsidRPr="00284463">
        <w:rPr>
          <w:lang w:val="cs-CZ"/>
        </w:rPr>
        <w:lastRenderedPageBreak/>
        <w:t xml:space="preserve">soudu. </w:t>
      </w:r>
      <w:r w:rsidR="00284463" w:rsidRPr="00284463">
        <w:rPr>
          <w:lang w:val="cs-CZ"/>
        </w:rPr>
        <w:t>MZV podporuje formou dobrovolného finančního příspěvku Svěřenecký fond pro oběti Mezinárodního trestního soudu (v roce 2020 se jednalo o částku 600 000,- Kč), Mezinárodní nestranný a nezávislý mechanismus na pomoc vyšetřování a stíhání osob, které jsou odpovědné za nejzávažnější zločiny podle mezinárodního práva spáchané v Sýr</w:t>
      </w:r>
      <w:r w:rsidR="00284463">
        <w:rPr>
          <w:lang w:val="cs-CZ"/>
        </w:rPr>
        <w:t xml:space="preserve">ii (v </w:t>
      </w:r>
      <w:r w:rsidR="00284463" w:rsidRPr="00284463">
        <w:rPr>
          <w:lang w:val="cs-CZ"/>
        </w:rPr>
        <w:t>roce 2020 se jednalo o částku 1 000 000,- Kč) a Zvláštní tribunál pro Libanon (v roce 2020 se jednalo o částku 350 000,- Kč).</w:t>
      </w:r>
    </w:p>
    <w:p w14:paraId="34D1AE00" w14:textId="1FC0D36A" w:rsidR="003F6A02" w:rsidRPr="00284463" w:rsidRDefault="003F6A02" w:rsidP="00506815">
      <w:pPr>
        <w:snapToGrid w:val="0"/>
        <w:spacing w:after="120"/>
        <w:jc w:val="both"/>
        <w:rPr>
          <w:lang w:val="cs-CZ"/>
        </w:rPr>
      </w:pPr>
      <w:r w:rsidRPr="00284463">
        <w:rPr>
          <w:lang w:val="cs-CZ"/>
        </w:rPr>
        <w:t>Soudce Mezinárodního trestního soudu, JUDr. Robert Fremr, byl v březnu 2018 jmenován jeho prvním místopředsedou. Soudkyně JUDr. Ivana Hrdličková i nadále zastávala post předsedkyně Zvláštního tribunálu pro Libanon.“</w:t>
      </w:r>
    </w:p>
    <w:p w14:paraId="32A0AFEA" w14:textId="77777777" w:rsidR="00BB40FD" w:rsidRPr="00284463" w:rsidRDefault="00BB40FD" w:rsidP="00506815">
      <w:pPr>
        <w:snapToGrid w:val="0"/>
        <w:spacing w:after="120"/>
        <w:jc w:val="center"/>
        <w:rPr>
          <w:lang w:val="cs-CZ"/>
        </w:rPr>
      </w:pPr>
    </w:p>
    <w:p w14:paraId="59896BDD" w14:textId="77777777" w:rsidR="00BB40FD" w:rsidRPr="00284463" w:rsidRDefault="00BB40FD" w:rsidP="00F004BA">
      <w:pPr>
        <w:pStyle w:val="Nadpis2"/>
        <w:pBdr>
          <w:bottom w:val="single" w:sz="4" w:space="1" w:color="4F81BD"/>
        </w:pBdr>
        <w:rPr>
          <w:rFonts w:ascii="Times New Roman" w:hAnsi="Times New Roman"/>
          <w:i w:val="0"/>
          <w:color w:val="2F5496" w:themeColor="accent1" w:themeShade="BF"/>
          <w:lang w:val="cs-CZ"/>
        </w:rPr>
      </w:pPr>
      <w:bookmarkStart w:id="26" w:name="_Toc39673340"/>
      <w:r w:rsidRPr="00284463">
        <w:rPr>
          <w:rFonts w:ascii="Times New Roman" w:hAnsi="Times New Roman"/>
          <w:i w:val="0"/>
          <w:color w:val="2F5496" w:themeColor="accent1" w:themeShade="BF"/>
          <w:lang w:val="cs-CZ"/>
        </w:rPr>
        <w:t>Úkol č. 12</w:t>
      </w:r>
      <w:bookmarkEnd w:id="26"/>
    </w:p>
    <w:p w14:paraId="07FBEA0C" w14:textId="77777777" w:rsidR="00BB40FD" w:rsidRPr="00284463" w:rsidRDefault="00BB40FD" w:rsidP="006B0E34">
      <w:pPr>
        <w:snapToGrid w:val="0"/>
        <w:spacing w:after="120" w:line="276" w:lineRule="auto"/>
        <w:jc w:val="both"/>
        <w:rPr>
          <w:b/>
          <w:lang w:val="cs-CZ" w:eastAsia="cs-CZ"/>
        </w:rPr>
      </w:pPr>
      <w:r w:rsidRPr="00284463">
        <w:rPr>
          <w:b/>
          <w:lang w:val="cs-CZ"/>
        </w:rPr>
        <w:t xml:space="preserve">Obecný cíl: </w:t>
      </w:r>
      <w:r w:rsidRPr="00284463">
        <w:rPr>
          <w:b/>
          <w:lang w:val="cs-CZ" w:eastAsia="cs-CZ"/>
        </w:rPr>
        <w:t>Spolupráce a předávání informací mezi partnerskými zeměmi o problematice WPS</w:t>
      </w:r>
    </w:p>
    <w:p w14:paraId="664E879A" w14:textId="77777777" w:rsidR="00BB40FD" w:rsidRPr="00284463" w:rsidRDefault="00BB40FD" w:rsidP="007554FF">
      <w:pPr>
        <w:snapToGrid w:val="0"/>
        <w:spacing w:after="120" w:line="276" w:lineRule="auto"/>
        <w:rPr>
          <w:lang w:val="cs-CZ"/>
        </w:rPr>
      </w:pPr>
      <w:r w:rsidRPr="00284463">
        <w:rPr>
          <w:lang w:val="cs-CZ"/>
        </w:rPr>
        <w:t>Úkoly:</w:t>
      </w:r>
    </w:p>
    <w:p w14:paraId="6DB51674" w14:textId="77777777" w:rsidR="00BB40FD" w:rsidRPr="00284463" w:rsidRDefault="00BB40FD" w:rsidP="007554FF">
      <w:pPr>
        <w:numPr>
          <w:ilvl w:val="0"/>
          <w:numId w:val="4"/>
        </w:numPr>
        <w:snapToGrid w:val="0"/>
        <w:spacing w:after="120" w:line="276" w:lineRule="auto"/>
        <w:rPr>
          <w:lang w:val="cs-CZ"/>
        </w:rPr>
      </w:pPr>
      <w:r w:rsidRPr="00284463">
        <w:rPr>
          <w:lang w:val="cs-CZ"/>
        </w:rPr>
        <w:t xml:space="preserve">Předávání informací o </w:t>
      </w:r>
      <w:r w:rsidR="006B6C30" w:rsidRPr="00284463">
        <w:rPr>
          <w:lang w:val="cs-CZ"/>
        </w:rPr>
        <w:t>A</w:t>
      </w:r>
      <w:r w:rsidRPr="00284463">
        <w:rPr>
          <w:lang w:val="cs-CZ"/>
        </w:rPr>
        <w:t xml:space="preserve">gendě WPS mezi partnery v rámci EU, NATO, OBSE a OSN,  </w:t>
      </w:r>
    </w:p>
    <w:p w14:paraId="572B557A" w14:textId="77777777" w:rsidR="00BB40FD" w:rsidRPr="00284463" w:rsidRDefault="00BB40FD" w:rsidP="007554FF">
      <w:pPr>
        <w:numPr>
          <w:ilvl w:val="0"/>
          <w:numId w:val="4"/>
        </w:numPr>
        <w:snapToGrid w:val="0"/>
        <w:spacing w:after="120" w:line="276" w:lineRule="auto"/>
        <w:rPr>
          <w:lang w:val="cs-CZ"/>
        </w:rPr>
      </w:pPr>
      <w:r w:rsidRPr="00284463">
        <w:rPr>
          <w:lang w:val="cs-CZ"/>
        </w:rPr>
        <w:t>Věnovat pozornost a včasně implementovat závazky vzešlé z dokumentů přijímaných k problematice WPS,</w:t>
      </w:r>
    </w:p>
    <w:p w14:paraId="347B148B" w14:textId="77777777" w:rsidR="00BB40FD" w:rsidRPr="00284463" w:rsidRDefault="00BB40FD" w:rsidP="007554FF">
      <w:pPr>
        <w:numPr>
          <w:ilvl w:val="0"/>
          <w:numId w:val="4"/>
        </w:numPr>
        <w:snapToGrid w:val="0"/>
        <w:spacing w:after="120" w:line="276" w:lineRule="auto"/>
        <w:rPr>
          <w:lang w:val="cs-CZ"/>
        </w:rPr>
      </w:pPr>
      <w:r w:rsidRPr="00284463">
        <w:rPr>
          <w:lang w:val="cs-CZ"/>
        </w:rPr>
        <w:t>Aktivní účast při tvorbě koncepčních materiálů k problematice WPS na úrovni EU, účast na jednáních EU Task Force UNSCR 1325,</w:t>
      </w:r>
    </w:p>
    <w:p w14:paraId="70CFEF8F" w14:textId="77777777" w:rsidR="005C7A09" w:rsidRPr="00284463" w:rsidRDefault="00BB40FD" w:rsidP="001B3EEA">
      <w:pPr>
        <w:numPr>
          <w:ilvl w:val="0"/>
          <w:numId w:val="4"/>
        </w:numPr>
        <w:snapToGrid w:val="0"/>
        <w:spacing w:after="120" w:line="276" w:lineRule="auto"/>
        <w:rPr>
          <w:lang w:val="cs-CZ"/>
        </w:rPr>
      </w:pPr>
      <w:r w:rsidRPr="00284463">
        <w:rPr>
          <w:lang w:val="cs-CZ"/>
        </w:rPr>
        <w:t>Aktivní spolupráce s Výborem NATO pro genderové perspektivy (NCGP) a armádami ostatních ČS NATO.</w:t>
      </w:r>
    </w:p>
    <w:p w14:paraId="742643B2" w14:textId="77777777" w:rsidR="001B3EEA" w:rsidRPr="00284463" w:rsidRDefault="001B3EEA" w:rsidP="001B3EEA">
      <w:pPr>
        <w:snapToGrid w:val="0"/>
        <w:spacing w:after="120" w:line="276" w:lineRule="auto"/>
        <w:ind w:left="720"/>
        <w:rPr>
          <w:lang w:val="cs-CZ"/>
        </w:rPr>
      </w:pPr>
    </w:p>
    <w:p w14:paraId="47B1ACBB" w14:textId="47E3666C" w:rsidR="003D3982" w:rsidRPr="00284463" w:rsidRDefault="00284463" w:rsidP="00C3576A">
      <w:pPr>
        <w:pStyle w:val="Zhlav"/>
        <w:spacing w:before="120"/>
        <w:jc w:val="both"/>
        <w:rPr>
          <w:lang w:val="cs-CZ"/>
        </w:rPr>
      </w:pPr>
      <w:r w:rsidRPr="00284463">
        <w:rPr>
          <w:lang w:val="cs-CZ"/>
        </w:rPr>
        <w:t>Implementace rezoluce RB 1325 je jedním z hlavních témat spadajících do agendy Fóra pro bezpečnostní spolupráci (Forum for Security Cooperation, FSC), ústředního formálního orgán</w:t>
      </w:r>
      <w:r>
        <w:rPr>
          <w:lang w:val="cs-CZ"/>
        </w:rPr>
        <w:t>u v rámci 1. dimenze (politicko</w:t>
      </w:r>
      <w:r w:rsidRPr="00284463">
        <w:rPr>
          <w:lang w:val="cs-CZ"/>
        </w:rPr>
        <w:t xml:space="preserve">– vojenské) OBSE. </w:t>
      </w:r>
      <w:r w:rsidR="003D3982" w:rsidRPr="00284463">
        <w:rPr>
          <w:lang w:val="cs-CZ"/>
        </w:rPr>
        <w:t xml:space="preserve">Připomeňme, že ČR se poměrně aktivně zapojila do procesu implementace rezoluce 1325 na konci roku 2019, kdy toto téma zařadila na program svého předsednictví FSC (září – prosinec 2019) a zorganizovala dedikovaný tzv. Security Dialogue na téma rezoluce RB OSN 1325. Mezi vystupujícími experty se zúčastnila také plk. Magdaléna Dvořáková z GŠ AČR. Vzhledem k tomu, že se v OBSE stalo dobrou tradicí, že rezoluci 1325 je věnováno jedno z jednání během každého jednotlivého předsednictví FSC (celkem tři ročně), věnovaly tomuto tématu pozornost také následující země, které FSC předsedaly/předsedají (aktuálně US). Důležitým momentem v roce 2020 bylo také 20. výročí přijetí rezoluce RB OSN 1325, což dodalo dodatečnou dynamiku tématu také v OBSE. Ve snaze zužitkovat toto momentum připravilo DE předsednictví FSC návrh ministerského výstupu k tématu rezoluce 1325 pro ministerské zasedání OBSE v prosinci 2020 (pod AL předsednictvím), které se vzhledem k pandemii Covid-19 uskutečnilo formou videokonference. Vzhledem k přetrvávajícím odlišným náhledům jednotlivých účastnických zemí na téma rezoluce 1325 v kontextu OBSE, se bohužel DE předsednictví FSC nepodařilo dosáhnout konsenzu a nebylo tudíž možné návrh předložit ke schválení na ministerské úrovni v prosinci 2020. Připomeňme, že zejména RU delegace se dlouhodobě k tématu rezoluce 1325 v kontextu OBSE staví poměrně odmítavě, neboť se mj. dle RU jedná o téma primárně v gesci OSN a OBSE by se jako organizace tímto tématem neměla zabývat. Důležitým dokumentem z pohledu implementace rezoluce 1325 </w:t>
      </w:r>
      <w:r w:rsidR="003D3982" w:rsidRPr="00284463">
        <w:rPr>
          <w:lang w:val="cs-CZ"/>
        </w:rPr>
        <w:lastRenderedPageBreak/>
        <w:t>v rámci aktivit OBSE je studie OBSE publikovaná v lednu 2020, která komplexně zhodnotila stav implementace rezoluce v jednotlivých účastnických zemích OBSE, a ze které bohužel vyplývá, že situace je nadále neuspokojivá (např. 86% zemí OBSE nealokuje žádné nebo jen velmi malé prostředky na implementaci rezoluce 1325). Ze závěrů této studie tak vyplývá, že práce na patřičné implementaci rezoluce RB OSN v OBSE zdaleka není u konce, naopak je třeba aktivity výrazně navýšit a to zejména praktickými kroky („přejít od slov k činům“).</w:t>
      </w:r>
    </w:p>
    <w:p w14:paraId="5DD0CC56" w14:textId="3A75790D" w:rsidR="00C3576A" w:rsidRPr="00284463" w:rsidRDefault="00C3576A" w:rsidP="00C3576A">
      <w:pPr>
        <w:pStyle w:val="Zhlav"/>
        <w:spacing w:before="120"/>
        <w:jc w:val="both"/>
        <w:rPr>
          <w:lang w:val="cs-CZ"/>
        </w:rPr>
      </w:pPr>
      <w:r w:rsidRPr="00284463">
        <w:rPr>
          <w:lang w:val="cs-CZ"/>
        </w:rPr>
        <w:t xml:space="preserve">Na počátku roku 2020 bylo dokončeno Výcvikové centrum pro ženské příslušnice Jordánských ozbrojených sil. Česká republika se na projektu podílela finančně a jako spolu-vedoucí země s Norskem. Projekt byl implementován NATO Support and Procurement Agency. Slavnostní otevření bylo kvůli pandemické situace odloženo na neurčito. </w:t>
      </w:r>
    </w:p>
    <w:p w14:paraId="2E3BD590" w14:textId="77777777" w:rsidR="00C3576A" w:rsidRPr="00284463" w:rsidRDefault="00C3576A" w:rsidP="00C3576A">
      <w:pPr>
        <w:pStyle w:val="Zhlav"/>
        <w:spacing w:before="120"/>
        <w:jc w:val="both"/>
        <w:rPr>
          <w:lang w:val="cs-CZ"/>
        </w:rPr>
      </w:pPr>
      <w:r w:rsidRPr="00284463">
        <w:rPr>
          <w:lang w:val="cs-CZ"/>
        </w:rPr>
        <w:t xml:space="preserve">Česká republika v roce 2020, vůbec poprvé ve své historii, převzala velení mezinárodní mise. Od 12. června 2020 do 12. ledna 2021 velela jednotkám Výcvikové mise EU v Mali (EUTM – Mali). Součástí českého příspěvku bylo vyslání civilní expertky na pozici Human Rights &amp; Gender Adviser, která byla součástí kritické infrastruktury velení mise. V rámci EU je tento krok hodnocen pozitivně a bude následován dalšími státy ve velení mise.  </w:t>
      </w:r>
    </w:p>
    <w:p w14:paraId="487CB261" w14:textId="77777777" w:rsidR="00C3576A" w:rsidRPr="00284463" w:rsidRDefault="00C3576A" w:rsidP="00C3576A">
      <w:pPr>
        <w:pStyle w:val="Zhlav"/>
        <w:spacing w:before="120"/>
        <w:jc w:val="both"/>
        <w:rPr>
          <w:lang w:val="cs-CZ"/>
        </w:rPr>
      </w:pPr>
      <w:r w:rsidRPr="00284463">
        <w:rPr>
          <w:lang w:val="cs-CZ"/>
        </w:rPr>
        <w:t>V listopadu 2020 se zástupce sekce obranné politiky a strategie MO ČR zúčastnil konference „Women, peace and security“, kterou při příležitosti 20. výročí přijetí rezoluce Rady bezpečnosti OSN č. 1325 organizovalo slovinské předsednictví Středoevropské obranné spolupráce (CEDC). Zástupce MO ČR prezentoval resortní přístup k implementaci rezoluce RB OSN č. 1325 a přispěl do sborníku příspěvků konference (</w:t>
      </w:r>
      <w:r w:rsidRPr="00284463">
        <w:rPr>
          <w:i/>
          <w:lang w:val="cs-CZ"/>
        </w:rPr>
        <w:t>pozn.: sborník dosud nebyl zveřejněn</w:t>
      </w:r>
      <w:r w:rsidRPr="00284463">
        <w:rPr>
          <w:lang w:val="cs-CZ"/>
        </w:rPr>
        <w:t xml:space="preserve">). </w:t>
      </w:r>
    </w:p>
    <w:p w14:paraId="5140DA16" w14:textId="77777777" w:rsidR="003D3982" w:rsidRPr="00284463" w:rsidRDefault="003D3982" w:rsidP="00C3576A">
      <w:pPr>
        <w:pStyle w:val="Zhlav"/>
        <w:jc w:val="both"/>
        <w:rPr>
          <w:lang w:val="cs-CZ"/>
        </w:rPr>
      </w:pPr>
    </w:p>
    <w:p w14:paraId="72D40E80" w14:textId="67F7D89F" w:rsidR="00C3576A" w:rsidRPr="00284463" w:rsidRDefault="00C3576A" w:rsidP="00A07E82">
      <w:pPr>
        <w:pStyle w:val="Zhlav"/>
        <w:jc w:val="both"/>
        <w:rPr>
          <w:lang w:val="cs-CZ"/>
        </w:rPr>
      </w:pPr>
      <w:r w:rsidRPr="00284463">
        <w:rPr>
          <w:lang w:val="cs-CZ"/>
        </w:rPr>
        <w:t xml:space="preserve">Na základě žádosti Velvyslanectví Kanady v ČR, poskytlo MO přehledovou </w:t>
      </w:r>
      <w:r w:rsidR="00284463" w:rsidRPr="00284463">
        <w:rPr>
          <w:lang w:val="cs-CZ"/>
        </w:rPr>
        <w:t>informaci k implementaci</w:t>
      </w:r>
      <w:r w:rsidRPr="00284463">
        <w:rPr>
          <w:lang w:val="cs-CZ"/>
        </w:rPr>
        <w:t xml:space="preserve"> rezoluce RB OSN č. 1325, a to v souvislosti s vystoupením kanadské ambasadorky pro agendu Ženy, mír a bezpečnost, Jacquelline O’</w:t>
      </w:r>
      <w:r w:rsidR="00284463" w:rsidRPr="00284463">
        <w:rPr>
          <w:lang w:val="cs-CZ"/>
        </w:rPr>
        <w:t>Neill, na</w:t>
      </w:r>
      <w:r w:rsidRPr="00284463">
        <w:rPr>
          <w:lang w:val="cs-CZ"/>
        </w:rPr>
        <w:t xml:space="preserve"> konferenci “Towards a Meaningful Change: </w:t>
      </w:r>
      <w:r w:rsidR="00284463" w:rsidRPr="00284463">
        <w:rPr>
          <w:lang w:val="cs-CZ"/>
        </w:rPr>
        <w:t>Gendere</w:t>
      </w:r>
      <w:r w:rsidRPr="00284463">
        <w:rPr>
          <w:lang w:val="cs-CZ"/>
        </w:rPr>
        <w:t xml:space="preserve"> </w:t>
      </w:r>
      <w:r w:rsidR="00284463" w:rsidRPr="00284463">
        <w:rPr>
          <w:lang w:val="cs-CZ"/>
        </w:rPr>
        <w:t>Florigen</w:t>
      </w:r>
      <w:r w:rsidRPr="00284463">
        <w:rPr>
          <w:lang w:val="cs-CZ"/>
        </w:rPr>
        <w:t xml:space="preserve"> </w:t>
      </w:r>
      <w:r w:rsidR="00284463" w:rsidRPr="00284463">
        <w:rPr>
          <w:lang w:val="cs-CZ"/>
        </w:rPr>
        <w:t>Polici</w:t>
      </w:r>
      <w:r w:rsidRPr="00284463">
        <w:rPr>
          <w:lang w:val="cs-CZ"/>
        </w:rPr>
        <w:t xml:space="preserve"> in </w:t>
      </w:r>
      <w:r w:rsidR="00284463" w:rsidRPr="00284463">
        <w:rPr>
          <w:lang w:val="cs-CZ"/>
        </w:rPr>
        <w:t>Praktice</w:t>
      </w:r>
      <w:r w:rsidRPr="00284463">
        <w:rPr>
          <w:lang w:val="cs-CZ"/>
        </w:rPr>
        <w:t xml:space="preserve">”. Konferenci pořádal Ústav mezinárodních vztahů dne 4. prosince 2020. </w:t>
      </w:r>
    </w:p>
    <w:p w14:paraId="4C3D277B" w14:textId="1D81F9C2" w:rsidR="00C3576A" w:rsidRPr="00284463" w:rsidRDefault="00C3576A" w:rsidP="00C3576A">
      <w:pPr>
        <w:pStyle w:val="Zhlav"/>
        <w:spacing w:before="120"/>
        <w:jc w:val="both"/>
        <w:rPr>
          <w:lang w:val="cs-CZ"/>
        </w:rPr>
      </w:pPr>
      <w:r w:rsidRPr="00284463">
        <w:rPr>
          <w:lang w:val="cs-CZ"/>
        </w:rPr>
        <w:t xml:space="preserve">Národní delegátka ve Výboru NATO pro genderové hledisko (NATO </w:t>
      </w:r>
      <w:r w:rsidR="00284463">
        <w:rPr>
          <w:lang w:val="cs-CZ"/>
        </w:rPr>
        <w:t>Committee</w:t>
      </w:r>
      <w:r w:rsidRPr="00284463">
        <w:rPr>
          <w:lang w:val="cs-CZ"/>
        </w:rPr>
        <w:t xml:space="preserve"> on Gender </w:t>
      </w:r>
      <w:r w:rsidR="00284463">
        <w:rPr>
          <w:lang w:val="cs-CZ"/>
        </w:rPr>
        <w:t>Perspective</w:t>
      </w:r>
      <w:r w:rsidRPr="00284463">
        <w:rPr>
          <w:lang w:val="cs-CZ"/>
        </w:rPr>
        <w:t>) se zúčastnila (online formou) pravidelné konference Výboru ve dnech 13. - 14. října 2020. Konference byla věnována 20. výročí vzniku Rezoluce RB OSN 1325 – Ženy, mír a bezpečnost „The UNSCR 1325 – Deepening Gender Mainstreaming: Transformation through Professionalisation“.</w:t>
      </w:r>
    </w:p>
    <w:p w14:paraId="61207193" w14:textId="427A8BAF" w:rsidR="00C3576A" w:rsidRPr="00284463" w:rsidRDefault="00C3576A" w:rsidP="00C3576A">
      <w:pPr>
        <w:pStyle w:val="Zhlav"/>
        <w:spacing w:before="120"/>
        <w:jc w:val="both"/>
        <w:rPr>
          <w:lang w:val="cs-CZ"/>
        </w:rPr>
      </w:pPr>
      <w:r w:rsidRPr="00284463">
        <w:rPr>
          <w:lang w:val="cs-CZ"/>
        </w:rPr>
        <w:t xml:space="preserve">V návaznosti na předchozí spolupráci s DCAF a s Mezinárodní konferencí ombudsmanských institucí pro ozbrojené síly (ICOAF) se hlavní inspektorka ochrany lidských práv rezortu MO zúčastnila říjnové mezinárodní konference, tentokrát online formou.   Program konference byl zaměřen na dopad pandemie covid-19 na úkoly ozbrojených sil a na činnost ombudsmanských institucí pro ozbrojené síly.  </w:t>
      </w:r>
    </w:p>
    <w:p w14:paraId="4DE3F8E2" w14:textId="57F62D47" w:rsidR="00A11983" w:rsidRPr="00284463" w:rsidRDefault="00A11983" w:rsidP="00A11983">
      <w:pPr>
        <w:jc w:val="both"/>
        <w:rPr>
          <w:color w:val="000000"/>
          <w:lang w:val="cs-CZ"/>
        </w:rPr>
      </w:pPr>
    </w:p>
    <w:p w14:paraId="7AF05016" w14:textId="628CC810" w:rsidR="00C3576A" w:rsidRPr="00284463" w:rsidRDefault="00C3576A" w:rsidP="00C3576A">
      <w:pPr>
        <w:jc w:val="both"/>
        <w:rPr>
          <w:color w:val="000000"/>
          <w:lang w:val="cs-CZ"/>
        </w:rPr>
      </w:pPr>
      <w:r w:rsidRPr="00284463">
        <w:rPr>
          <w:color w:val="000000"/>
          <w:lang w:val="cs-CZ"/>
        </w:rPr>
        <w:t xml:space="preserve">Výměna informací týkající se problematiky WPS (obchod s lidmi, genderově podmíněné násilí apod.), probíhala obdobně jako v roce 2019 též v roce 2020 mezi zainteresovanými zeměmi po pracovní úrovni v rámci vysílání expertů a expertek do služeb agentury EASO, agentury Frontex a na zahraniční mírové operace. V rámci Regionálních programů rozvoje byl i v roce 2020 udržován aktivní kontakt se všemi zainteresovanými stranami – státy, mezinárodními institucemi a neziskovými organizacemi. </w:t>
      </w:r>
    </w:p>
    <w:p w14:paraId="703D5A18" w14:textId="77777777" w:rsidR="00C3576A" w:rsidRPr="00284463" w:rsidRDefault="00C3576A" w:rsidP="00C3576A">
      <w:pPr>
        <w:jc w:val="both"/>
        <w:rPr>
          <w:color w:val="000000"/>
          <w:lang w:val="cs-CZ"/>
        </w:rPr>
      </w:pPr>
    </w:p>
    <w:p w14:paraId="7CB63F87" w14:textId="4265CE92" w:rsidR="00C3576A" w:rsidRPr="00284463" w:rsidRDefault="00C3576A" w:rsidP="00C3576A">
      <w:pPr>
        <w:jc w:val="both"/>
        <w:rPr>
          <w:color w:val="000000"/>
          <w:lang w:val="cs-CZ"/>
        </w:rPr>
      </w:pPr>
      <w:r w:rsidRPr="00284463">
        <w:rPr>
          <w:color w:val="000000"/>
          <w:lang w:val="cs-CZ"/>
        </w:rPr>
        <w:t xml:space="preserve">MV i Policie ČR </w:t>
      </w:r>
      <w:r w:rsidR="00A11983" w:rsidRPr="00284463">
        <w:rPr>
          <w:color w:val="000000"/>
          <w:lang w:val="cs-CZ"/>
        </w:rPr>
        <w:t xml:space="preserve">nadále </w:t>
      </w:r>
      <w:r w:rsidRPr="00284463">
        <w:rPr>
          <w:color w:val="000000"/>
          <w:lang w:val="cs-CZ"/>
        </w:rPr>
        <w:t xml:space="preserve">intenzivně spolupracuje v souvislostech předmětných problematik s nestátními neziskovými a mezivládními organizacemi (IOM). Zástupci MV a Policie ČR se také, zejména v rámci řešení problematiky obchodu s lidmi a procesu dokončování nové </w:t>
      </w:r>
      <w:r w:rsidRPr="00284463">
        <w:rPr>
          <w:color w:val="000000"/>
          <w:lang w:val="cs-CZ"/>
        </w:rPr>
        <w:lastRenderedPageBreak/>
        <w:t>Národní strategie boje proti obchodování s lidmi v ČR (tzv. OSL), účastnili jednání platforem v rámci EU i jednání, která vyplývají z účasti v mezinárodních organizacích či jiných bilaterálních a multilaterálních či regionálních partnerství.</w:t>
      </w:r>
    </w:p>
    <w:p w14:paraId="76B02523" w14:textId="77777777" w:rsidR="00C3576A" w:rsidRPr="00284463" w:rsidRDefault="00C3576A" w:rsidP="00C3576A">
      <w:pPr>
        <w:jc w:val="both"/>
        <w:rPr>
          <w:color w:val="000000"/>
          <w:lang w:val="cs-CZ"/>
        </w:rPr>
      </w:pPr>
    </w:p>
    <w:p w14:paraId="5E8D9CBC" w14:textId="01E4041D" w:rsidR="00C3576A" w:rsidRPr="00284463" w:rsidRDefault="00C3576A" w:rsidP="00C3576A">
      <w:pPr>
        <w:jc w:val="both"/>
        <w:rPr>
          <w:color w:val="0070C0"/>
          <w:lang w:val="cs-CZ"/>
        </w:rPr>
      </w:pPr>
      <w:r w:rsidRPr="00284463">
        <w:rPr>
          <w:color w:val="000000"/>
          <w:lang w:val="cs-CZ"/>
        </w:rPr>
        <w:t xml:space="preserve">Zástupkyně a zástupci věcně příslušných útvarů MV se dále pravidelně účastní jednání pracovní skupiny k agendě rezoluce RB OSN č. 1325 o ženách, míru a bezpečnosti, jejímž koordinátorem je Ministerstvo zahraničních věcí, kde jsou diskutovány a předávány příklady dobré praxe ze zahraničí a mezinárodní spolupráce při implementaci agendy WPS. </w:t>
      </w:r>
      <w:r w:rsidRPr="00284463">
        <w:rPr>
          <w:lang w:val="cs-CZ"/>
        </w:rPr>
        <w:t>MV v tomto kontextu, kromě účasti na jednáních pracovní skupiny (kterou tvořili též zástupci a zástupkyně neziskového a akademického sektoru), čerpal poznatky z dobré praxe sousedních států v oblasti agendy WPS. Získané poznatky z dobré praxe ze zahraničí poté zástupci a zástupkyně MV využili k formulování nových úkolů pro Národní plán agendy WPS na nadcházející období.</w:t>
      </w:r>
      <w:r w:rsidRPr="00284463">
        <w:rPr>
          <w:color w:val="0070C0"/>
          <w:lang w:val="cs-CZ"/>
        </w:rPr>
        <w:t xml:space="preserve"> </w:t>
      </w:r>
    </w:p>
    <w:p w14:paraId="6FD947DE" w14:textId="2764CBE5" w:rsidR="005A23B9" w:rsidRPr="00284463" w:rsidRDefault="00263F04" w:rsidP="003D3982">
      <w:pPr>
        <w:spacing w:before="120" w:line="276" w:lineRule="auto"/>
        <w:jc w:val="both"/>
        <w:rPr>
          <w:lang w:val="cs-CZ"/>
        </w:rPr>
      </w:pPr>
      <w:r w:rsidRPr="00284463">
        <w:rPr>
          <w:b/>
          <w:lang w:val="cs-CZ"/>
        </w:rPr>
        <w:t xml:space="preserve">ČR </w:t>
      </w:r>
      <w:r w:rsidR="00717903" w:rsidRPr="00284463">
        <w:rPr>
          <w:b/>
          <w:lang w:val="cs-CZ"/>
        </w:rPr>
        <w:t xml:space="preserve">se aktivně podílí na </w:t>
      </w:r>
      <w:r w:rsidR="00284463" w:rsidRPr="00284463">
        <w:rPr>
          <w:b/>
          <w:lang w:val="cs-CZ"/>
        </w:rPr>
        <w:t>činnosti</w:t>
      </w:r>
      <w:r w:rsidRPr="00284463">
        <w:rPr>
          <w:b/>
          <w:lang w:val="cs-CZ"/>
        </w:rPr>
        <w:t xml:space="preserve"> Skupiny přátel Agendy WPS</w:t>
      </w:r>
      <w:r w:rsidR="00A4032B" w:rsidRPr="00284463">
        <w:rPr>
          <w:lang w:val="cs-CZ"/>
        </w:rPr>
        <w:t>. Skupina přátel byla zformována v roce 2000 za účelem podpory implementace Rezoluce 1325 o ženách míru a bezpečnosti. Skupina pracuje s následujícími nástroji: sdílení informací, podpora souvisejících témat uvnitř a vně Rady bezpečnosti i dalších aktivit vedoucích k implementaci Rezoluce 1325 a souvisejících rezolucí. Zástupkyně Stálé mise ČR při OSN v New Yorku se od přijetí ČR do skupiny pravidelně účastní jejích zasedání.</w:t>
      </w:r>
    </w:p>
    <w:p w14:paraId="392451F0" w14:textId="77777777" w:rsidR="00A11983" w:rsidRPr="00284463" w:rsidRDefault="00A11983" w:rsidP="001B3EEA">
      <w:pPr>
        <w:snapToGrid w:val="0"/>
        <w:spacing w:after="120" w:line="276" w:lineRule="auto"/>
        <w:jc w:val="both"/>
        <w:rPr>
          <w:highlight w:val="yellow"/>
          <w:lang w:val="cs-CZ"/>
        </w:rPr>
      </w:pPr>
    </w:p>
    <w:p w14:paraId="514CFEC8" w14:textId="21B1B2C7" w:rsidR="00F75B50" w:rsidRPr="00284463" w:rsidRDefault="005A23B9" w:rsidP="001B3EEA">
      <w:pPr>
        <w:snapToGrid w:val="0"/>
        <w:spacing w:after="120" w:line="276" w:lineRule="auto"/>
        <w:jc w:val="both"/>
        <w:rPr>
          <w:lang w:val="cs-CZ"/>
        </w:rPr>
      </w:pPr>
      <w:r w:rsidRPr="00284463">
        <w:rPr>
          <w:lang w:val="cs-CZ"/>
        </w:rPr>
        <w:t xml:space="preserve">MZV ČR </w:t>
      </w:r>
      <w:r w:rsidR="00E41143" w:rsidRPr="00284463">
        <w:rPr>
          <w:lang w:val="cs-CZ"/>
        </w:rPr>
        <w:t>se v návaznosti na Akční plán EU k agendě WPS přijatý v červenci 2019 podílelo</w:t>
      </w:r>
      <w:r w:rsidR="00717903" w:rsidRPr="00284463">
        <w:rPr>
          <w:lang w:val="cs-CZ"/>
        </w:rPr>
        <w:t xml:space="preserve"> na jeho implementaci</w:t>
      </w:r>
      <w:r w:rsidR="00E41143" w:rsidRPr="00284463">
        <w:rPr>
          <w:lang w:val="cs-CZ"/>
        </w:rPr>
        <w:t xml:space="preserve">. </w:t>
      </w:r>
      <w:r w:rsidRPr="00284463">
        <w:rPr>
          <w:lang w:val="cs-CZ"/>
        </w:rPr>
        <w:t xml:space="preserve">Kontaktní osoba pro Agendu WPS během roku pravidelně komentovala (v konzultaci s akademickou sférou) připravované zahraničně politické dokumenty týkající se oblasti genderu a pracovala na posílení aspektů prevence, ochrany, participace a pomoci ženám. </w:t>
      </w:r>
      <w:r w:rsidRPr="00284463">
        <w:rPr>
          <w:b/>
          <w:lang w:val="cs-CZ"/>
        </w:rPr>
        <w:t>Pravidelně se také spolu se zástupkyní SZ Brusel zúčastňovala zasedání EU Informal Taskforce k Rezoluci 1325.</w:t>
      </w:r>
      <w:r w:rsidR="00A4032B" w:rsidRPr="00284463">
        <w:rPr>
          <w:lang w:val="cs-CZ"/>
        </w:rPr>
        <w:t xml:space="preserve"> </w:t>
      </w:r>
    </w:p>
    <w:p w14:paraId="673B204A" w14:textId="77777777" w:rsidR="00665146" w:rsidRPr="00284463" w:rsidRDefault="00665146" w:rsidP="007554FF">
      <w:pPr>
        <w:snapToGrid w:val="0"/>
        <w:spacing w:after="120" w:line="276" w:lineRule="auto"/>
        <w:jc w:val="center"/>
        <w:rPr>
          <w:lang w:val="cs-CZ"/>
        </w:rPr>
      </w:pPr>
    </w:p>
    <w:p w14:paraId="6252B596" w14:textId="77777777" w:rsidR="00665146" w:rsidRPr="00284463" w:rsidRDefault="00665146" w:rsidP="005B4495">
      <w:pPr>
        <w:pStyle w:val="Nadpis2"/>
        <w:pBdr>
          <w:bottom w:val="single" w:sz="4" w:space="1" w:color="4F81BD"/>
        </w:pBdr>
        <w:rPr>
          <w:rFonts w:ascii="Times New Roman" w:hAnsi="Times New Roman"/>
          <w:i w:val="0"/>
          <w:color w:val="2F5496" w:themeColor="accent1" w:themeShade="BF"/>
          <w:lang w:val="cs-CZ"/>
        </w:rPr>
      </w:pPr>
      <w:bookmarkStart w:id="27" w:name="_Toc39673341"/>
      <w:r w:rsidRPr="00284463">
        <w:rPr>
          <w:rFonts w:ascii="Times New Roman" w:hAnsi="Times New Roman"/>
          <w:i w:val="0"/>
          <w:color w:val="2F5496" w:themeColor="accent1" w:themeShade="BF"/>
          <w:lang w:val="cs-CZ"/>
        </w:rPr>
        <w:t>Úkol č. 13</w:t>
      </w:r>
      <w:bookmarkEnd w:id="27"/>
    </w:p>
    <w:p w14:paraId="1A0D1B41" w14:textId="77777777" w:rsidR="00665146" w:rsidRPr="00284463" w:rsidRDefault="00665146" w:rsidP="008E78B4">
      <w:pPr>
        <w:snapToGrid w:val="0"/>
        <w:spacing w:after="120" w:line="276" w:lineRule="auto"/>
        <w:jc w:val="both"/>
        <w:rPr>
          <w:b/>
          <w:lang w:val="cs-CZ"/>
        </w:rPr>
      </w:pPr>
      <w:r w:rsidRPr="00284463">
        <w:rPr>
          <w:b/>
          <w:lang w:val="cs-CZ"/>
        </w:rPr>
        <w:t>Obecný cíl: Aktivní role ČR při podpoře a šíření agendy WPS na mezinárodních fórech</w:t>
      </w:r>
    </w:p>
    <w:p w14:paraId="03DB4557" w14:textId="77777777" w:rsidR="00665146" w:rsidRPr="00284463" w:rsidRDefault="00665146" w:rsidP="008E78B4">
      <w:pPr>
        <w:snapToGrid w:val="0"/>
        <w:spacing w:after="120" w:line="276" w:lineRule="auto"/>
        <w:jc w:val="both"/>
        <w:rPr>
          <w:lang w:val="cs-CZ"/>
        </w:rPr>
      </w:pPr>
      <w:r w:rsidRPr="00284463">
        <w:rPr>
          <w:lang w:val="cs-CZ"/>
        </w:rPr>
        <w:t>Úkol:</w:t>
      </w:r>
    </w:p>
    <w:p w14:paraId="0DFFBAFA" w14:textId="77777777" w:rsidR="00665146" w:rsidRPr="00284463" w:rsidRDefault="00665146" w:rsidP="008E78B4">
      <w:pPr>
        <w:numPr>
          <w:ilvl w:val="0"/>
          <w:numId w:val="4"/>
        </w:numPr>
        <w:snapToGrid w:val="0"/>
        <w:spacing w:after="120" w:line="276" w:lineRule="auto"/>
        <w:jc w:val="both"/>
        <w:rPr>
          <w:lang w:val="cs-CZ"/>
        </w:rPr>
      </w:pPr>
      <w:r w:rsidRPr="00284463">
        <w:rPr>
          <w:lang w:val="cs-CZ"/>
        </w:rPr>
        <w:t xml:space="preserve">Podpora </w:t>
      </w:r>
      <w:r w:rsidR="00EA03E7" w:rsidRPr="00284463">
        <w:rPr>
          <w:lang w:val="cs-CZ"/>
        </w:rPr>
        <w:t>A</w:t>
      </w:r>
      <w:r w:rsidRPr="00284463">
        <w:rPr>
          <w:lang w:val="cs-CZ"/>
        </w:rPr>
        <w:t>gendy WPS prostřednictvím předkládání rezoluce k rovné politické participaci v Radě OSN pro lidská práva či při formulování doporučení v rámci Univerzálního periodického přezkumu</w:t>
      </w:r>
      <w:r w:rsidR="008E78B4" w:rsidRPr="00284463">
        <w:rPr>
          <w:lang w:val="cs-CZ"/>
        </w:rPr>
        <w:t>;</w:t>
      </w:r>
    </w:p>
    <w:p w14:paraId="1635DF0E" w14:textId="029EAC77" w:rsidR="00052CA2" w:rsidRPr="00284463" w:rsidRDefault="008E78B4" w:rsidP="007554FF">
      <w:pPr>
        <w:numPr>
          <w:ilvl w:val="0"/>
          <w:numId w:val="4"/>
        </w:numPr>
        <w:snapToGrid w:val="0"/>
        <w:spacing w:after="120" w:line="276" w:lineRule="auto"/>
        <w:jc w:val="both"/>
        <w:rPr>
          <w:lang w:val="cs-CZ"/>
        </w:rPr>
      </w:pPr>
      <w:r w:rsidRPr="00284463">
        <w:rPr>
          <w:lang w:val="cs-CZ"/>
        </w:rPr>
        <w:t>P</w:t>
      </w:r>
      <w:r w:rsidR="00665146" w:rsidRPr="00284463">
        <w:rPr>
          <w:lang w:val="cs-CZ"/>
        </w:rPr>
        <w:t>odpora implementace doporučení č. 30 Úmluvy o odstranění všech forem diskriminace žen – Ženy a prevence konfliktů, konfliktní a post-konfliktní situace (GR30)</w:t>
      </w:r>
    </w:p>
    <w:p w14:paraId="62DADE7F" w14:textId="7823781A" w:rsidR="00C3576A" w:rsidRPr="00284463" w:rsidRDefault="00C3576A" w:rsidP="00BE1E9A">
      <w:pPr>
        <w:snapToGrid w:val="0"/>
        <w:spacing w:after="120"/>
        <w:jc w:val="both"/>
        <w:rPr>
          <w:lang w:val="cs-CZ"/>
        </w:rPr>
      </w:pPr>
      <w:r w:rsidRPr="00284463">
        <w:rPr>
          <w:lang w:val="cs-CZ"/>
        </w:rPr>
        <w:t xml:space="preserve">Na multilaterální úrovni se Ministerstvo zahraničních věcí i v roce 2020 aktivně zapojilo pro Agendu WPS </w:t>
      </w:r>
      <w:r w:rsidR="00A07E82" w:rsidRPr="00284463">
        <w:rPr>
          <w:lang w:val="cs-CZ"/>
        </w:rPr>
        <w:t xml:space="preserve">do </w:t>
      </w:r>
      <w:r w:rsidRPr="00284463">
        <w:rPr>
          <w:lang w:val="cs-CZ"/>
        </w:rPr>
        <w:t xml:space="preserve">relevantních klíčových vyjednávání v rámci OSN. Na zasedání Rady OSN pro lidská práva (RLP) v červnu 2020 mj. ČR kosponzorovala rezoluce </w:t>
      </w:r>
      <w:r w:rsidRPr="00284463">
        <w:rPr>
          <w:i/>
          <w:lang w:val="cs-CZ"/>
        </w:rPr>
        <w:t xml:space="preserve">„Obchodování s lidmi, zejména ženami a dětmi“, „Eliminace mrzačení ženských pohlavních orgánů“ a „Eliminace všech forem diskriminace žen a dívek“. </w:t>
      </w:r>
      <w:r w:rsidRPr="00284463">
        <w:rPr>
          <w:lang w:val="cs-CZ"/>
        </w:rPr>
        <w:t xml:space="preserve">Díky druhé jmenované rezoluci se bude k tomuto tématu na RLP 47 konat panelová diskuse na vysoké úrovni a na RLP 50 předloží </w:t>
      </w:r>
      <w:r w:rsidRPr="00284463">
        <w:rPr>
          <w:lang w:val="cs-CZ"/>
        </w:rPr>
        <w:lastRenderedPageBreak/>
        <w:t xml:space="preserve">OHCHR souhrnnou zprávu k problematice mrzačení ženských pohlavních orgánů. ČR aktivně vystupovala proti snahám o oslabení textů. U poslední jmenované rezoluce ČR vystoupila proti dodatku L.34, který požadoval odstranění sexuálních a reprodukčních služeb ze seznamu důležitých služeb v rámci řešení dopadů Covid-19 na ženy a dívky. Na zářijovém zasedání RLP jsme kosponzorovali rezoluci </w:t>
      </w:r>
      <w:r w:rsidRPr="00284463">
        <w:rPr>
          <w:i/>
          <w:lang w:val="cs-CZ"/>
        </w:rPr>
        <w:t>„Prosazování a ochrana lidských práv žen a dívek u příležitosti 20. výročí rezoluce RB OSN 1325 (2000)“</w:t>
      </w:r>
      <w:r w:rsidRPr="00284463">
        <w:rPr>
          <w:lang w:val="cs-CZ"/>
        </w:rPr>
        <w:t xml:space="preserve"> a </w:t>
      </w:r>
      <w:r w:rsidRPr="00284463">
        <w:rPr>
          <w:i/>
          <w:lang w:val="cs-CZ"/>
        </w:rPr>
        <w:t>„Prosazování, ochrana a dodržování lidských práv žen a dívek v humanitárních situacích“</w:t>
      </w:r>
      <w:r w:rsidRPr="00284463">
        <w:rPr>
          <w:lang w:val="cs-CZ"/>
        </w:rPr>
        <w:t>. Díky první rezoluci předloží OHCHR na RLP 48 report k začleňování lidských práv žen a dívek v rámci konfliktních a post-konfliktních situací. Druhá rezoluce se zaměřuje na složitou situaci žen a dívek během katastrof či válek například s ohledem na právo na potravu či participaci. Hlavním výstupem je žádost o zprávu OHCHR na RLP49 k tématu rezoluce.</w:t>
      </w:r>
    </w:p>
    <w:p w14:paraId="01969C23" w14:textId="77777777" w:rsidR="00C3576A" w:rsidRPr="00284463" w:rsidRDefault="00C3576A" w:rsidP="00BE1E9A">
      <w:pPr>
        <w:snapToGrid w:val="0"/>
        <w:spacing w:after="120"/>
        <w:jc w:val="both"/>
        <w:rPr>
          <w:lang w:val="cs-CZ"/>
        </w:rPr>
      </w:pPr>
      <w:r w:rsidRPr="00284463">
        <w:rPr>
          <w:lang w:val="cs-CZ"/>
        </w:rPr>
        <w:t xml:space="preserve">Při třech zasedáních RLP v roce 2020 se ČR rovněž přihlásila k několika relevantním společným prohlášením. Konkrétně ČR podpořila prohlášení k sexuálním a reprodukčním právům během pandemie Covid-19, prohlášení k Mezinárodnímu dni žen (tématem byly mimo jiné útoky na obránkyně lidských práv) a prohlášení k 25. výročí Pekingské deklarace a Akční platformy (potvrzující závazek k úplné implementaci deklarace). Při červnové radě vystoupila ČR v interaktivním dialogu se zvláštní zpravodajkou k násilí na ženách s projevem k perzekuci žen novinářek. </w:t>
      </w:r>
    </w:p>
    <w:p w14:paraId="0D97B325" w14:textId="2F8DA6EC" w:rsidR="00C3576A" w:rsidRPr="00284463" w:rsidRDefault="00C3576A" w:rsidP="00506815">
      <w:pPr>
        <w:snapToGrid w:val="0"/>
        <w:spacing w:after="120"/>
        <w:jc w:val="both"/>
        <w:rPr>
          <w:lang w:val="cs-CZ"/>
        </w:rPr>
      </w:pPr>
      <w:r w:rsidRPr="00284463">
        <w:rPr>
          <w:b/>
          <w:bCs/>
          <w:lang w:val="cs-CZ"/>
        </w:rPr>
        <w:t xml:space="preserve">V rámci 3. cyklu Univerzálního periodického přezkumu </w:t>
      </w:r>
      <w:r w:rsidRPr="00284463">
        <w:rPr>
          <w:bCs/>
          <w:lang w:val="cs-CZ"/>
        </w:rPr>
        <w:t>(UPR)</w:t>
      </w:r>
      <w:r w:rsidRPr="00284463">
        <w:rPr>
          <w:b/>
          <w:bCs/>
          <w:lang w:val="cs-CZ"/>
        </w:rPr>
        <w:t xml:space="preserve"> </w:t>
      </w:r>
      <w:r w:rsidRPr="00284463">
        <w:rPr>
          <w:lang w:val="cs-CZ"/>
        </w:rPr>
        <w:t xml:space="preserve">během třech zasedání v roce 2020 </w:t>
      </w:r>
      <w:r w:rsidRPr="00284463">
        <w:rPr>
          <w:b/>
          <w:bCs/>
          <w:lang w:val="cs-CZ"/>
        </w:rPr>
        <w:t xml:space="preserve">ČR mj. formulovala doporučení </w:t>
      </w:r>
      <w:r w:rsidRPr="00284463">
        <w:rPr>
          <w:lang w:val="cs-CZ"/>
        </w:rPr>
        <w:t>zaměřená na sexuální zneužívání a obchod se ženami, genderovou diskriminaci, vymýcení ženské obřízky, boj proti domácímu a jinému genderově podmíněnému násilí, podporu participace žen ve veřejném životě, rozšíření krizových center pro ženy a ratifikaci CEDAW. Doporučení na tato témata ČR přednesla následujícím zemím: Laos, Kuvajt, Keňa, Španělsko, Kyrgyzstán, Bulharsko, Chorvatsko, Mongolsko, Honduras, Libérie, USA, Austrálie, Nepál a Libanon.</w:t>
      </w:r>
    </w:p>
    <w:p w14:paraId="3443AB40" w14:textId="77777777" w:rsidR="002974EB" w:rsidRPr="00284463" w:rsidRDefault="002974EB" w:rsidP="002974EB">
      <w:pPr>
        <w:snapToGrid w:val="0"/>
        <w:spacing w:line="276" w:lineRule="auto"/>
        <w:jc w:val="both"/>
        <w:rPr>
          <w:lang w:val="cs-CZ"/>
        </w:rPr>
      </w:pPr>
      <w:r w:rsidRPr="00284463">
        <w:rPr>
          <w:lang w:val="cs-CZ"/>
        </w:rPr>
        <w:t xml:space="preserve">Kontaktní osoba MZV byla také stejně jako v minulých letech součástí </w:t>
      </w:r>
      <w:r w:rsidRPr="00284463">
        <w:rPr>
          <w:b/>
          <w:lang w:val="cs-CZ"/>
        </w:rPr>
        <w:t>delegace ČR na 65. zasedání Komise pro postavení žen</w:t>
      </w:r>
      <w:r w:rsidRPr="00284463">
        <w:rPr>
          <w:lang w:val="cs-CZ"/>
        </w:rPr>
        <w:t xml:space="preserve">. Ačkoliv se zasedání Komise v důsledku epidemiologických opatření vyplývajících z pandemie COVID-19 uskutečnilo ve VTC formátu, uspořádala ČR na okraj jednání dva tzv. side-eventy. Tématem prvního side-eventu bylo „Equal Pay for Women: Tools and Policies“ (tj. „Rovné odměňování pro ženy: Nástroje a politiky“), tématem druhého „Gender-based Violence in the Online World“ (tj. „Genderové násilí v on-line prostředí“). </w:t>
      </w:r>
      <w:r w:rsidRPr="00284463">
        <w:rPr>
          <w:b/>
          <w:lang w:val="cs-CZ"/>
        </w:rPr>
        <w:t>Delegaci pod vedením ministryně práce a sociálních věcí v roce 2020 tvořilo 19 osob, z toho 7 zástupkyň NNO</w:t>
      </w:r>
      <w:r w:rsidRPr="00284463">
        <w:rPr>
          <w:lang w:val="cs-CZ"/>
        </w:rPr>
        <w:t xml:space="preserve">. </w:t>
      </w:r>
    </w:p>
    <w:p w14:paraId="4FD1FC5F" w14:textId="21456F4C" w:rsidR="002974EB" w:rsidRPr="00284463" w:rsidRDefault="002974EB" w:rsidP="00BE1E9A">
      <w:pPr>
        <w:snapToGrid w:val="0"/>
        <w:spacing w:after="120" w:line="276" w:lineRule="auto"/>
        <w:jc w:val="both"/>
        <w:rPr>
          <w:lang w:val="cs-CZ"/>
        </w:rPr>
      </w:pPr>
    </w:p>
    <w:p w14:paraId="2BBADE66" w14:textId="77777777" w:rsidR="00665146" w:rsidRPr="00284463" w:rsidRDefault="00665146" w:rsidP="005B4495">
      <w:pPr>
        <w:pStyle w:val="Nadpis2"/>
        <w:pBdr>
          <w:bottom w:val="single" w:sz="4" w:space="1" w:color="4F81BD"/>
        </w:pBdr>
        <w:rPr>
          <w:rFonts w:ascii="Times New Roman" w:hAnsi="Times New Roman"/>
          <w:i w:val="0"/>
          <w:color w:val="2F5496" w:themeColor="accent1" w:themeShade="BF"/>
          <w:lang w:val="cs-CZ"/>
        </w:rPr>
      </w:pPr>
      <w:bookmarkStart w:id="28" w:name="_Toc39673342"/>
      <w:r w:rsidRPr="00284463">
        <w:rPr>
          <w:rFonts w:ascii="Times New Roman" w:hAnsi="Times New Roman"/>
          <w:i w:val="0"/>
          <w:color w:val="2F5496" w:themeColor="accent1" w:themeShade="BF"/>
          <w:lang w:val="cs-CZ"/>
        </w:rPr>
        <w:t>Úkol č. 14</w:t>
      </w:r>
      <w:bookmarkEnd w:id="28"/>
    </w:p>
    <w:p w14:paraId="3AF2BF61" w14:textId="77777777" w:rsidR="00812A8F" w:rsidRPr="00284463" w:rsidRDefault="00812A8F" w:rsidP="008E78B4">
      <w:pPr>
        <w:snapToGrid w:val="0"/>
        <w:spacing w:after="120" w:line="276" w:lineRule="auto"/>
        <w:jc w:val="both"/>
        <w:rPr>
          <w:b/>
          <w:bCs/>
          <w:iCs/>
          <w:lang w:val="cs-CZ"/>
        </w:rPr>
      </w:pPr>
      <w:r w:rsidRPr="00284463">
        <w:rPr>
          <w:b/>
          <w:bCs/>
          <w:iCs/>
          <w:lang w:val="cs-CZ"/>
        </w:rPr>
        <w:t>Obecný cíl: Nadále zohledňovat princip genderové rovnosti včetně problematiky WPS při realizaci Programu zahraniční rozvojové spolupráce, humanitární pomoci a Programu transformační spolupráce (MZV)</w:t>
      </w:r>
    </w:p>
    <w:p w14:paraId="0DA4BB4B" w14:textId="77777777" w:rsidR="00812A8F" w:rsidRPr="00284463" w:rsidRDefault="00812A8F" w:rsidP="008E78B4">
      <w:pPr>
        <w:snapToGrid w:val="0"/>
        <w:spacing w:after="120" w:line="276" w:lineRule="auto"/>
        <w:jc w:val="both"/>
        <w:rPr>
          <w:lang w:val="cs-CZ"/>
        </w:rPr>
      </w:pPr>
      <w:r w:rsidRPr="00284463">
        <w:rPr>
          <w:iCs/>
          <w:lang w:val="cs-CZ"/>
        </w:rPr>
        <w:t xml:space="preserve">Úkoly: </w:t>
      </w:r>
    </w:p>
    <w:p w14:paraId="03B1D190" w14:textId="77777777" w:rsidR="00812A8F" w:rsidRPr="00284463" w:rsidRDefault="00812A8F" w:rsidP="008E78B4">
      <w:pPr>
        <w:numPr>
          <w:ilvl w:val="0"/>
          <w:numId w:val="6"/>
        </w:numPr>
        <w:snapToGrid w:val="0"/>
        <w:spacing w:after="120" w:line="276" w:lineRule="auto"/>
        <w:jc w:val="both"/>
        <w:rPr>
          <w:lang w:val="cs-CZ"/>
        </w:rPr>
      </w:pPr>
      <w:r w:rsidRPr="00284463">
        <w:rPr>
          <w:iCs/>
          <w:lang w:val="cs-CZ"/>
        </w:rPr>
        <w:t xml:space="preserve">V rámci Programu zahraniční rozvojové spolupráce, humanitární pomoci a Programu transformační spolupráce podporovat projekty zaměřené na posílení postavení žen včetně </w:t>
      </w:r>
      <w:r w:rsidR="00EA03E7" w:rsidRPr="00284463">
        <w:rPr>
          <w:iCs/>
          <w:lang w:val="cs-CZ"/>
        </w:rPr>
        <w:t>A</w:t>
      </w:r>
      <w:r w:rsidRPr="00284463">
        <w:rPr>
          <w:iCs/>
          <w:lang w:val="cs-CZ"/>
        </w:rPr>
        <w:t xml:space="preserve">gendy WPS; </w:t>
      </w:r>
    </w:p>
    <w:p w14:paraId="57C14652" w14:textId="77777777" w:rsidR="00812A8F" w:rsidRPr="00284463" w:rsidRDefault="00812A8F" w:rsidP="008E78B4">
      <w:pPr>
        <w:numPr>
          <w:ilvl w:val="0"/>
          <w:numId w:val="6"/>
        </w:numPr>
        <w:snapToGrid w:val="0"/>
        <w:spacing w:after="120" w:line="276" w:lineRule="auto"/>
        <w:jc w:val="both"/>
        <w:rPr>
          <w:lang w:val="cs-CZ"/>
        </w:rPr>
      </w:pPr>
      <w:r w:rsidRPr="00284463">
        <w:rPr>
          <w:iCs/>
          <w:lang w:val="cs-CZ"/>
        </w:rPr>
        <w:lastRenderedPageBreak/>
        <w:t xml:space="preserve">nadále uplatňovat princip genderové rovnosti jako nedílnou součást identifikace a závěrečného hodnocení projektů zahraniční rozvojové spolupráce, humanitární pomoci a transformační spolupráce; </w:t>
      </w:r>
    </w:p>
    <w:p w14:paraId="2CB39CCB" w14:textId="77777777" w:rsidR="00812A8F" w:rsidRPr="00284463" w:rsidRDefault="00812A8F" w:rsidP="008E78B4">
      <w:pPr>
        <w:numPr>
          <w:ilvl w:val="0"/>
          <w:numId w:val="6"/>
        </w:numPr>
        <w:snapToGrid w:val="0"/>
        <w:spacing w:after="120" w:line="276" w:lineRule="auto"/>
        <w:jc w:val="both"/>
        <w:rPr>
          <w:lang w:val="cs-CZ"/>
        </w:rPr>
      </w:pPr>
      <w:r w:rsidRPr="00284463">
        <w:rPr>
          <w:iCs/>
          <w:lang w:val="cs-CZ"/>
        </w:rPr>
        <w:t xml:space="preserve">spolupráce s místními organizacemi žen na identifikaci a řešení problematiky WPS. </w:t>
      </w:r>
    </w:p>
    <w:p w14:paraId="0192EBE5" w14:textId="77777777" w:rsidR="00665146" w:rsidRPr="00284463" w:rsidRDefault="00665146" w:rsidP="007554FF">
      <w:pPr>
        <w:snapToGrid w:val="0"/>
        <w:spacing w:after="120" w:line="276" w:lineRule="auto"/>
        <w:ind w:left="720"/>
        <w:jc w:val="both"/>
        <w:rPr>
          <w:lang w:val="cs-CZ"/>
        </w:rPr>
      </w:pPr>
    </w:p>
    <w:p w14:paraId="092D7D90" w14:textId="77777777" w:rsidR="00BE1E9A" w:rsidRPr="00284463" w:rsidRDefault="00BE1E9A" w:rsidP="00BE1E9A">
      <w:pPr>
        <w:jc w:val="both"/>
        <w:rPr>
          <w:lang w:val="cs-CZ"/>
        </w:rPr>
      </w:pPr>
      <w:r w:rsidRPr="00284463">
        <w:rPr>
          <w:lang w:val="cs-CZ"/>
        </w:rPr>
        <w:t xml:space="preserve">V rámci zahraniční rozvojové spolupráce bylo v roce 2020 téma rovnosti žen a mužů zohledňováno v souladu se Strategií zahraniční rozvojové spolupráce České republiky 2018-2030. Genderová rovnost je v kontextu respektu k lidským právům jedním z průřezových témat pro všechny realizované projekty. V roce 2020 proto podpořena řada projektů rozvojové spolupráce a humanitární pomoci zaměřená na posílení postavení žen. </w:t>
      </w:r>
    </w:p>
    <w:p w14:paraId="4E8D2D42" w14:textId="77777777" w:rsidR="00BE1E9A" w:rsidRPr="00284463" w:rsidRDefault="00BE1E9A" w:rsidP="00BE1E9A">
      <w:pPr>
        <w:jc w:val="both"/>
        <w:rPr>
          <w:lang w:val="cs-CZ"/>
        </w:rPr>
      </w:pPr>
    </w:p>
    <w:p w14:paraId="3136A2EE" w14:textId="7D33071C" w:rsidR="00BE1E9A" w:rsidRPr="00284463" w:rsidRDefault="00BE1E9A" w:rsidP="00BE1E9A">
      <w:pPr>
        <w:jc w:val="both"/>
        <w:rPr>
          <w:lang w:val="cs-CZ"/>
        </w:rPr>
      </w:pPr>
      <w:r w:rsidRPr="00284463">
        <w:rPr>
          <w:lang w:val="cs-CZ"/>
        </w:rPr>
        <w:t xml:space="preserve">V rámci </w:t>
      </w:r>
      <w:r w:rsidRPr="00284463">
        <w:rPr>
          <w:b/>
          <w:lang w:val="cs-CZ"/>
        </w:rPr>
        <w:t>bilaterální spolupráce</w:t>
      </w:r>
      <w:r w:rsidRPr="00284463">
        <w:rPr>
          <w:lang w:val="cs-CZ"/>
        </w:rPr>
        <w:t xml:space="preserve"> zprostředkovala Česká rozvojová agentura 67 mil. Kč na projekty přímo nebo částečně cílící na problematiku genderu. Mezi nimi to byl např. projekt v Etiopii na zlepšení přístupu k vodním zdrojům, podpora vzdělávání na Ukrajině nebo podpora vnitřně vysídlených osob a zranitelných komunit v Iráku. Posílení postavení žen bylo také předmětem projektů spolupráce se soukromým sektorem (B2B), v roce 2020 např. firma Dermacol zrealizovala otevření nových kosmetických salonů na Západním břehu Jordánu (Palestinská území), které kompletně provozují místní ženy. </w:t>
      </w:r>
    </w:p>
    <w:p w14:paraId="499299BF" w14:textId="77777777" w:rsidR="00060925" w:rsidRPr="00284463" w:rsidRDefault="00060925" w:rsidP="00BE1E9A">
      <w:pPr>
        <w:jc w:val="both"/>
        <w:rPr>
          <w:lang w:val="cs-CZ"/>
        </w:rPr>
      </w:pPr>
    </w:p>
    <w:p w14:paraId="18153EFC" w14:textId="063960E3" w:rsidR="00BE1E9A" w:rsidRPr="00284463" w:rsidRDefault="00BE1E9A" w:rsidP="00BE1E9A">
      <w:pPr>
        <w:jc w:val="both"/>
        <w:rPr>
          <w:lang w:val="cs-CZ"/>
        </w:rPr>
      </w:pPr>
      <w:r w:rsidRPr="00284463">
        <w:rPr>
          <w:lang w:val="cs-CZ"/>
        </w:rPr>
        <w:t xml:space="preserve">V rámci </w:t>
      </w:r>
      <w:r w:rsidR="00060925" w:rsidRPr="00284463">
        <w:rPr>
          <w:b/>
          <w:lang w:val="cs-CZ"/>
        </w:rPr>
        <w:t>dotačních programů</w:t>
      </w:r>
      <w:r w:rsidRPr="00284463">
        <w:rPr>
          <w:b/>
          <w:lang w:val="cs-CZ"/>
        </w:rPr>
        <w:t xml:space="preserve"> MZV v humanitární oblasti</w:t>
      </w:r>
      <w:r w:rsidRPr="00284463">
        <w:rPr>
          <w:lang w:val="cs-CZ"/>
        </w:rPr>
        <w:t xml:space="preserve"> bylo v roce 2020 vyhlášeno celkem pět dotačních programů, v jejichž rámci bylo podpořeno 32 projektů zaměřených na humanitární pomoc v zahraničí, včetně komplexních krizí, okamžité a stabilizační pomoci vysídleným a řešení dopadů pandemie COVID-19. V těchto programech byla rovnost žen a mužů jedním z průřezových kritérií. Řada projektů byla zaměřena na obzvláště zranitelné skupiny, včetně žen, s důrazem na jejich ochranu, podporu zdrojů obživy a celkové posílení jejich role v místní společnosti.</w:t>
      </w:r>
    </w:p>
    <w:p w14:paraId="36FF386C" w14:textId="77777777" w:rsidR="00BE1E9A" w:rsidRPr="00284463" w:rsidRDefault="00BE1E9A" w:rsidP="00BE1E9A">
      <w:pPr>
        <w:jc w:val="both"/>
        <w:rPr>
          <w:color w:val="000000"/>
          <w:lang w:val="cs-CZ"/>
        </w:rPr>
      </w:pPr>
    </w:p>
    <w:p w14:paraId="021DF7B5" w14:textId="7737E954" w:rsidR="00BE1E9A" w:rsidRPr="00284463" w:rsidRDefault="00BE1E9A" w:rsidP="00BE1E9A">
      <w:pPr>
        <w:jc w:val="both"/>
        <w:rPr>
          <w:color w:val="000000"/>
          <w:lang w:val="cs-CZ"/>
        </w:rPr>
      </w:pPr>
      <w:r w:rsidRPr="00284463">
        <w:rPr>
          <w:color w:val="000000"/>
          <w:lang w:val="cs-CZ"/>
        </w:rPr>
        <w:t xml:space="preserve">Přesah do agendy WPS měl například humanitární projekt pro podporu rohingských uprchlíků v Myanmaru a Bangladéši se zaměřením na ochranu žen a dětí, projekty realizované v Iráku s cílem obnovy zdravotní péče pro ženy a pomoci obětem sexuálního násilí. V Mali a Nigeru také v rámci humanitární intervence pomáhala organizace ADRA ženám se zajištěním živobytí a bezpečného bydlení v souvislosti s ochranou před sexuálním násilím. </w:t>
      </w:r>
    </w:p>
    <w:p w14:paraId="177FF239" w14:textId="77777777" w:rsidR="00BE1E9A" w:rsidRPr="00284463" w:rsidRDefault="00BE1E9A" w:rsidP="00BE1E9A">
      <w:pPr>
        <w:jc w:val="both"/>
        <w:rPr>
          <w:lang w:val="cs-CZ"/>
        </w:rPr>
      </w:pPr>
    </w:p>
    <w:p w14:paraId="52B48A08" w14:textId="0EACD54F" w:rsidR="00BE1E9A" w:rsidRPr="00284463" w:rsidRDefault="00BE1E9A" w:rsidP="00BE1E9A">
      <w:pPr>
        <w:jc w:val="both"/>
        <w:rPr>
          <w:lang w:val="cs-CZ"/>
        </w:rPr>
      </w:pPr>
      <w:r w:rsidRPr="00284463">
        <w:rPr>
          <w:lang w:val="cs-CZ"/>
        </w:rPr>
        <w:t>V rámci identifikace je přihlíženo k rovnosti mužů a žen. Kapitola "rovný přístup k ženám a mužům" je součástí každého projektového dokumentu České rozvojové agentury, stejně jako závěrečného hodnocení projektů.</w:t>
      </w:r>
    </w:p>
    <w:p w14:paraId="5F75734D" w14:textId="77777777" w:rsidR="00BE1E9A" w:rsidRPr="00284463" w:rsidRDefault="00BE1E9A" w:rsidP="00BE1E9A">
      <w:pPr>
        <w:jc w:val="both"/>
        <w:rPr>
          <w:lang w:val="cs-CZ"/>
        </w:rPr>
      </w:pPr>
    </w:p>
    <w:p w14:paraId="73204659" w14:textId="7A3884E2" w:rsidR="00BE1E9A" w:rsidRPr="00284463" w:rsidRDefault="00BE1E9A" w:rsidP="00BE1E9A">
      <w:pPr>
        <w:jc w:val="both"/>
        <w:rPr>
          <w:color w:val="000000"/>
          <w:lang w:val="cs-CZ"/>
        </w:rPr>
      </w:pPr>
      <w:r w:rsidRPr="00284463">
        <w:rPr>
          <w:lang w:val="cs-CZ"/>
        </w:rPr>
        <w:t xml:space="preserve">Pravidelně spolupracujeme s místními organizacemi žen na identifikaci problémů i samotné implementaci projektů, zejména v rámci malých lokálních projektů. </w:t>
      </w:r>
      <w:r w:rsidRPr="00284463">
        <w:rPr>
          <w:color w:val="000000"/>
          <w:lang w:val="cs-CZ"/>
        </w:rPr>
        <w:t>V roce 2020 byl například financován projekt realizovaný v Palestině ve spolupráci s ženským centrem v Beit Sahour (Arab Women Union of Beit Sahour). V rámci projektu byla postavena velkokapacitní sušička na ovoce a bylinky, která je vytápěna solární technologií. Vybavení slouží k rozvoji ekonomických příležitostí žen skrze prodej nových produktů na místním trhu.</w:t>
      </w:r>
    </w:p>
    <w:p w14:paraId="654EC5A4" w14:textId="2643950E" w:rsidR="00060925" w:rsidRPr="00284463" w:rsidRDefault="00060925" w:rsidP="00BE1E9A">
      <w:pPr>
        <w:jc w:val="both"/>
        <w:rPr>
          <w:color w:val="000000"/>
          <w:lang w:val="cs-CZ"/>
        </w:rPr>
      </w:pPr>
    </w:p>
    <w:p w14:paraId="4BD4BBA1" w14:textId="243D2388" w:rsidR="00060925" w:rsidRPr="00284463" w:rsidRDefault="00060925" w:rsidP="00060925">
      <w:pPr>
        <w:snapToGrid w:val="0"/>
        <w:spacing w:after="120"/>
        <w:jc w:val="both"/>
        <w:rPr>
          <w:lang w:val="cs-CZ"/>
        </w:rPr>
      </w:pPr>
      <w:r w:rsidRPr="00284463">
        <w:rPr>
          <w:lang w:val="cs-CZ"/>
        </w:rPr>
        <w:t xml:space="preserve">MZV má v gesci rovněž </w:t>
      </w:r>
      <w:r w:rsidRPr="00284463">
        <w:rPr>
          <w:b/>
          <w:iCs/>
          <w:lang w:val="cs-CZ"/>
        </w:rPr>
        <w:t>Dotační Program transformační spolupráce</w:t>
      </w:r>
      <w:r w:rsidRPr="00284463">
        <w:rPr>
          <w:lang w:val="cs-CZ"/>
        </w:rPr>
        <w:t xml:space="preserve">, v jehož rámci jsou realizovány projekty, které slouží ke vzdělávání a šíření povědomí o lidských právech a k podpoře demokratizačních procesů a občanské společnosti ve světě. Princip genderové rovnosti je zohledňován jako horizontální priorita ve všech realizovaných projektech ve fázi </w:t>
      </w:r>
      <w:r w:rsidRPr="00284463">
        <w:rPr>
          <w:lang w:val="cs-CZ"/>
        </w:rPr>
        <w:lastRenderedPageBreak/>
        <w:t xml:space="preserve">identifikace a hodnocení/výběru projektů. V projektové žádosti předkladatelé specificky uvádějí </w:t>
      </w:r>
      <w:r w:rsidRPr="00284463">
        <w:rPr>
          <w:iCs/>
          <w:lang w:val="cs-CZ"/>
        </w:rPr>
        <w:t>jakým způsobem je v projektu zohledněno téma rovnosti žen a mužů.</w:t>
      </w:r>
    </w:p>
    <w:p w14:paraId="3B2EE428" w14:textId="01386749" w:rsidR="00060925" w:rsidRPr="00284463" w:rsidRDefault="00060925" w:rsidP="00060925">
      <w:pPr>
        <w:snapToGrid w:val="0"/>
        <w:spacing w:after="120"/>
        <w:jc w:val="both"/>
        <w:rPr>
          <w:lang w:val="cs-CZ"/>
        </w:rPr>
      </w:pPr>
      <w:r w:rsidRPr="00284463">
        <w:rPr>
          <w:lang w:val="cs-CZ"/>
        </w:rPr>
        <w:t xml:space="preserve">V rámci </w:t>
      </w:r>
      <w:r w:rsidR="00284463" w:rsidRPr="00284463">
        <w:rPr>
          <w:lang w:val="cs-CZ"/>
        </w:rPr>
        <w:t>mikro grantů</w:t>
      </w:r>
      <w:r w:rsidRPr="00284463">
        <w:rPr>
          <w:lang w:val="cs-CZ"/>
        </w:rPr>
        <w:t xml:space="preserve"> byly podporovány iniciativy zabývající se domácím násilím, právy žen či zapojování žen do rozhodovacích procesů. Ženy jsou většinově zastoupeny jak mezi realizátory, tak mezi beneficienty projektů. Téma rovnosti žen a mužů bylo přítomno i v projektech zaměřených na podporu občanské společnosti, participace či nezávislých médií. </w:t>
      </w:r>
    </w:p>
    <w:p w14:paraId="10F3B61D" w14:textId="77777777" w:rsidR="00060925" w:rsidRPr="00284463" w:rsidRDefault="00060925" w:rsidP="00060925">
      <w:pPr>
        <w:snapToGrid w:val="0"/>
        <w:spacing w:after="120"/>
        <w:jc w:val="both"/>
        <w:rPr>
          <w:bCs/>
          <w:lang w:val="cs-CZ"/>
        </w:rPr>
      </w:pPr>
      <w:r w:rsidRPr="00284463">
        <w:rPr>
          <w:bCs/>
          <w:lang w:val="cs-CZ"/>
        </w:rPr>
        <w:t xml:space="preserve">V rámci programu transformační spolupráce jsou podporovány rovněž projekty místních nevládních organizací předkládané zastupitelskými úřady, mezi nimiž bylo téma rovnosti mužů a žen podstatně zastoupeno. Jednalo se např. o projekty: </w:t>
      </w:r>
      <w:r w:rsidRPr="00284463">
        <w:rPr>
          <w:i/>
          <w:lang w:val="cs-CZ"/>
        </w:rPr>
        <w:t>Podpora afghánských žen nastupujících do vedoucích pozic; Řešení problému domácího násilí v rodině - práva a právní záruky napadených žen</w:t>
      </w:r>
      <w:r w:rsidRPr="00284463">
        <w:rPr>
          <w:lang w:val="cs-CZ"/>
        </w:rPr>
        <w:t xml:space="preserve"> nebo </w:t>
      </w:r>
      <w:r w:rsidRPr="00284463">
        <w:rPr>
          <w:i/>
          <w:lang w:val="cs-CZ"/>
        </w:rPr>
        <w:t>Podpora zapojení žen do politiky v regionu Sanaag</w:t>
      </w:r>
      <w:r w:rsidRPr="00284463">
        <w:rPr>
          <w:bCs/>
          <w:lang w:val="cs-CZ"/>
        </w:rPr>
        <w:t xml:space="preserve">. Podobně jako v případě projektů českých NNO byly ženy dominantně zastoupeny v desítkách dalších projektů zaměřených obecněji na ochranu lidských práv, občanskou participaci či ochranu uprchlíků.   </w:t>
      </w:r>
    </w:p>
    <w:p w14:paraId="0125AA60" w14:textId="28158AD8" w:rsidR="004D70BD" w:rsidRPr="00284463" w:rsidRDefault="004D70BD" w:rsidP="00D44D87">
      <w:pPr>
        <w:snapToGrid w:val="0"/>
        <w:spacing w:after="120" w:line="276" w:lineRule="auto"/>
        <w:jc w:val="both"/>
        <w:rPr>
          <w:lang w:val="cs-CZ"/>
        </w:rPr>
      </w:pPr>
    </w:p>
    <w:p w14:paraId="729DCA20" w14:textId="77777777" w:rsidR="00665146" w:rsidRPr="00284463" w:rsidRDefault="00665146" w:rsidP="005B4495">
      <w:pPr>
        <w:pStyle w:val="Nadpis2"/>
        <w:pBdr>
          <w:bottom w:val="single" w:sz="4" w:space="1" w:color="4F81BD"/>
        </w:pBdr>
        <w:rPr>
          <w:rFonts w:ascii="Times New Roman" w:hAnsi="Times New Roman"/>
          <w:i w:val="0"/>
          <w:color w:val="2F5496" w:themeColor="accent1" w:themeShade="BF"/>
          <w:lang w:val="cs-CZ"/>
        </w:rPr>
      </w:pPr>
      <w:bookmarkStart w:id="29" w:name="_Toc39673343"/>
      <w:r w:rsidRPr="00284463">
        <w:rPr>
          <w:rFonts w:ascii="Times New Roman" w:hAnsi="Times New Roman"/>
          <w:i w:val="0"/>
          <w:color w:val="2F5496" w:themeColor="accent1" w:themeShade="BF"/>
          <w:lang w:val="cs-CZ"/>
        </w:rPr>
        <w:t>Úkol č. 15</w:t>
      </w:r>
      <w:bookmarkEnd w:id="29"/>
    </w:p>
    <w:p w14:paraId="2A602B82" w14:textId="07C1EC82" w:rsidR="00665146" w:rsidRPr="00284463" w:rsidRDefault="00665146" w:rsidP="008E78B4">
      <w:pPr>
        <w:snapToGrid w:val="0"/>
        <w:spacing w:after="120" w:line="276" w:lineRule="auto"/>
        <w:jc w:val="both"/>
        <w:rPr>
          <w:b/>
          <w:lang w:val="cs-CZ"/>
        </w:rPr>
      </w:pPr>
      <w:r w:rsidRPr="00284463">
        <w:rPr>
          <w:b/>
          <w:lang w:val="cs-CZ"/>
        </w:rPr>
        <w:t>Obecný cíl: Permanentní a kontinuální zohledňování tíživé situace žen a dívek, monitoring a identifikace klíčových problémů nejvíce zranitelných skupin,</w:t>
      </w:r>
      <w:r w:rsidR="00C67097" w:rsidRPr="00284463">
        <w:rPr>
          <w:b/>
          <w:lang w:val="cs-CZ"/>
        </w:rPr>
        <w:t xml:space="preserve"> včetně žen a dívek a následné/</w:t>
      </w:r>
      <w:r w:rsidRPr="00284463">
        <w:rPr>
          <w:b/>
          <w:lang w:val="cs-CZ"/>
        </w:rPr>
        <w:t>paralelní vytváření kritérií a kvót jakožto podpůrných instrumentů ochrany nejvíce zranitelných skupin, včetně žen a dívek – v kontextu plánování a implementace zahraničních humanitárních programů a Regionálních programů rozvoje a ochrany (RDPP) vedených MV</w:t>
      </w:r>
    </w:p>
    <w:p w14:paraId="4671D3B2" w14:textId="77777777" w:rsidR="008E78B4" w:rsidRPr="00284463" w:rsidRDefault="008E78B4" w:rsidP="008E78B4">
      <w:pPr>
        <w:snapToGrid w:val="0"/>
        <w:spacing w:after="120" w:line="276" w:lineRule="auto"/>
        <w:jc w:val="both"/>
        <w:rPr>
          <w:lang w:val="cs-CZ"/>
        </w:rPr>
      </w:pPr>
      <w:r w:rsidRPr="00284463">
        <w:rPr>
          <w:lang w:val="cs-CZ"/>
        </w:rPr>
        <w:t>Úkoly:</w:t>
      </w:r>
    </w:p>
    <w:p w14:paraId="17D339B8" w14:textId="77777777" w:rsidR="00665146" w:rsidRPr="00284463" w:rsidRDefault="00665146" w:rsidP="008E78B4">
      <w:pPr>
        <w:numPr>
          <w:ilvl w:val="0"/>
          <w:numId w:val="6"/>
        </w:numPr>
        <w:snapToGrid w:val="0"/>
        <w:spacing w:after="120" w:line="276" w:lineRule="auto"/>
        <w:jc w:val="both"/>
        <w:rPr>
          <w:lang w:val="cs-CZ"/>
        </w:rPr>
      </w:pPr>
      <w:r w:rsidRPr="00284463">
        <w:rPr>
          <w:lang w:val="cs-CZ"/>
        </w:rPr>
        <w:t>Podpora přesídlovacích programů a humanitárního přijetí žen a dívek v ohrožení (</w:t>
      </w:r>
      <w:r w:rsidR="008E78B4" w:rsidRPr="00284463">
        <w:rPr>
          <w:lang w:val="cs-CZ"/>
        </w:rPr>
        <w:t>W</w:t>
      </w:r>
      <w:r w:rsidRPr="00284463">
        <w:rPr>
          <w:lang w:val="cs-CZ"/>
        </w:rPr>
        <w:t xml:space="preserve">omen at </w:t>
      </w:r>
      <w:r w:rsidR="008E78B4" w:rsidRPr="00284463">
        <w:rPr>
          <w:lang w:val="cs-CZ"/>
        </w:rPr>
        <w:t>R</w:t>
      </w:r>
      <w:r w:rsidRPr="00284463">
        <w:rPr>
          <w:lang w:val="cs-CZ"/>
        </w:rPr>
        <w:t>isk) a nejvíce zranitelných skupin s akutní potřebou mezinárodní ochrany</w:t>
      </w:r>
      <w:r w:rsidR="008E78B4" w:rsidRPr="00284463">
        <w:rPr>
          <w:lang w:val="cs-CZ"/>
        </w:rPr>
        <w:t>;</w:t>
      </w:r>
    </w:p>
    <w:p w14:paraId="1D5A0A75" w14:textId="77777777" w:rsidR="00665146" w:rsidRPr="00284463" w:rsidRDefault="00665146" w:rsidP="008E78B4">
      <w:pPr>
        <w:numPr>
          <w:ilvl w:val="0"/>
          <w:numId w:val="6"/>
        </w:numPr>
        <w:snapToGrid w:val="0"/>
        <w:spacing w:after="120" w:line="276" w:lineRule="auto"/>
        <w:jc w:val="both"/>
        <w:rPr>
          <w:lang w:val="cs-CZ"/>
        </w:rPr>
      </w:pPr>
      <w:r w:rsidRPr="00284463">
        <w:rPr>
          <w:lang w:val="cs-CZ"/>
        </w:rPr>
        <w:t>Výčet počtu přesídlených/humanitárně přijatých žen a dívek</w:t>
      </w:r>
      <w:r w:rsidR="00C1270D" w:rsidRPr="00284463">
        <w:rPr>
          <w:lang w:val="cs-CZ"/>
        </w:rPr>
        <w:t>-</w:t>
      </w:r>
      <w:r w:rsidRPr="00284463">
        <w:rPr>
          <w:lang w:val="cs-CZ"/>
        </w:rPr>
        <w:t>migrantek za účelem poskytnutí akutní mezinárodní ochrany</w:t>
      </w:r>
      <w:r w:rsidR="008E78B4" w:rsidRPr="00284463">
        <w:rPr>
          <w:lang w:val="cs-CZ"/>
        </w:rPr>
        <w:t>;</w:t>
      </w:r>
    </w:p>
    <w:p w14:paraId="224FF057" w14:textId="77777777" w:rsidR="00665146" w:rsidRPr="00284463" w:rsidRDefault="00665146" w:rsidP="008E78B4">
      <w:pPr>
        <w:numPr>
          <w:ilvl w:val="0"/>
          <w:numId w:val="6"/>
        </w:numPr>
        <w:snapToGrid w:val="0"/>
        <w:spacing w:after="120" w:line="276" w:lineRule="auto"/>
        <w:jc w:val="both"/>
        <w:rPr>
          <w:lang w:val="cs-CZ"/>
        </w:rPr>
      </w:pPr>
      <w:r w:rsidRPr="00284463">
        <w:rPr>
          <w:lang w:val="cs-CZ"/>
        </w:rPr>
        <w:t>Vymezení a monitoring souboru služeb a integračních opatření poskytnutých migrantům, resp. ženám</w:t>
      </w:r>
      <w:r w:rsidR="00C1270D" w:rsidRPr="00284463">
        <w:rPr>
          <w:lang w:val="cs-CZ"/>
        </w:rPr>
        <w:t>-</w:t>
      </w:r>
      <w:r w:rsidRPr="00284463">
        <w:rPr>
          <w:lang w:val="cs-CZ"/>
        </w:rPr>
        <w:t>migrantkám s udělenou mezinárodní ochranou</w:t>
      </w:r>
      <w:r w:rsidR="008E78B4" w:rsidRPr="00284463">
        <w:rPr>
          <w:lang w:val="cs-CZ"/>
        </w:rPr>
        <w:t>.</w:t>
      </w:r>
    </w:p>
    <w:p w14:paraId="732E083A" w14:textId="77777777" w:rsidR="002036DB" w:rsidRPr="00284463" w:rsidRDefault="002036DB" w:rsidP="00E225D7">
      <w:pPr>
        <w:snapToGrid w:val="0"/>
        <w:spacing w:after="120" w:line="276" w:lineRule="auto"/>
        <w:jc w:val="both"/>
        <w:rPr>
          <w:lang w:val="cs-CZ"/>
        </w:rPr>
      </w:pPr>
    </w:p>
    <w:p w14:paraId="12313531" w14:textId="77777777" w:rsidR="00E16D43" w:rsidRPr="00284463" w:rsidRDefault="00E16D43" w:rsidP="00E16D43">
      <w:pPr>
        <w:jc w:val="both"/>
        <w:rPr>
          <w:color w:val="000000"/>
          <w:lang w:val="cs-CZ"/>
        </w:rPr>
      </w:pPr>
      <w:r w:rsidRPr="00284463">
        <w:rPr>
          <w:color w:val="000000"/>
          <w:lang w:val="cs-CZ"/>
        </w:rPr>
        <w:t xml:space="preserve">V roce 2020 poskytlo MV finanční dary na asistenci uprchlíkům prostřednictvím programu „Program Ministerstva vnitra na asistenci uprchlíkům v regionech původu a prevenci velkých migračních pohybů (dále jen „Pomoc na místě“). MV tak dlouhodobě finančně podporuje aktivity určené na asistenci uprchlíkům v místě jejich prvního vysídlení a podporu azylové a migrační infrastruktury těch států, které velké uprchlické populace hostí, nebo se s nimi jako tranzitní země potýkají. </w:t>
      </w:r>
    </w:p>
    <w:p w14:paraId="04D25413" w14:textId="77777777" w:rsidR="00E16D43" w:rsidRPr="00284463" w:rsidRDefault="00E16D43" w:rsidP="00E16D43">
      <w:pPr>
        <w:jc w:val="both"/>
        <w:rPr>
          <w:color w:val="000000"/>
          <w:lang w:val="cs-CZ"/>
        </w:rPr>
      </w:pPr>
    </w:p>
    <w:p w14:paraId="13F00405" w14:textId="77777777" w:rsidR="00E16D43" w:rsidRPr="00284463" w:rsidRDefault="00E16D43" w:rsidP="00E16D43">
      <w:pPr>
        <w:jc w:val="both"/>
        <w:rPr>
          <w:color w:val="000000"/>
          <w:lang w:val="cs-CZ"/>
        </w:rPr>
      </w:pPr>
      <w:r w:rsidRPr="00284463">
        <w:rPr>
          <w:color w:val="000000"/>
          <w:lang w:val="cs-CZ"/>
        </w:rPr>
        <w:t xml:space="preserve">V rámci řešení migrační krize MV zohledňuje i potřeby nejzranitelnějších skupin uprchlíků </w:t>
      </w:r>
      <w:r w:rsidRPr="00284463">
        <w:rPr>
          <w:color w:val="000000"/>
          <w:lang w:val="cs-CZ"/>
        </w:rPr>
        <w:br/>
        <w:t xml:space="preserve">a místních obyvatel, včetně genderově specifických potřeb žen a dívek; v roce 2020 bylo v rámci programu Pomoc na místě poskytnuto 135 mil. Kč. </w:t>
      </w:r>
    </w:p>
    <w:p w14:paraId="79D6E03F" w14:textId="77777777" w:rsidR="00E16D43" w:rsidRPr="00284463" w:rsidRDefault="00E16D43" w:rsidP="00E16D43">
      <w:pPr>
        <w:jc w:val="both"/>
        <w:rPr>
          <w:color w:val="000000"/>
          <w:lang w:val="cs-CZ"/>
        </w:rPr>
      </w:pPr>
    </w:p>
    <w:p w14:paraId="4365C613" w14:textId="77777777" w:rsidR="00E16D43" w:rsidRPr="00284463" w:rsidRDefault="00E16D43" w:rsidP="00E16D43">
      <w:pPr>
        <w:jc w:val="both"/>
        <w:rPr>
          <w:color w:val="000000"/>
          <w:lang w:val="cs-CZ"/>
        </w:rPr>
      </w:pPr>
      <w:r w:rsidRPr="00284463">
        <w:rPr>
          <w:color w:val="000000"/>
          <w:lang w:val="cs-CZ"/>
        </w:rPr>
        <w:lastRenderedPageBreak/>
        <w:t>Mezi prioritní oblasti programu v roce 2020 patřil region Balkánu a region Blízkého východu a severní Afriky.</w:t>
      </w:r>
    </w:p>
    <w:p w14:paraId="326CA40A" w14:textId="77777777" w:rsidR="00E16D43" w:rsidRPr="00284463" w:rsidRDefault="00E16D43" w:rsidP="00E16D43">
      <w:pPr>
        <w:jc w:val="both"/>
        <w:rPr>
          <w:color w:val="000000"/>
          <w:lang w:val="cs-CZ"/>
        </w:rPr>
      </w:pPr>
    </w:p>
    <w:p w14:paraId="0CDDE502" w14:textId="77777777" w:rsidR="00E16D43" w:rsidRPr="00284463" w:rsidRDefault="00E16D43" w:rsidP="00E16D43">
      <w:pPr>
        <w:jc w:val="both"/>
        <w:rPr>
          <w:color w:val="000000"/>
          <w:lang w:val="cs-CZ"/>
        </w:rPr>
      </w:pPr>
    </w:p>
    <w:p w14:paraId="37A73B3E" w14:textId="77777777" w:rsidR="00E16D43" w:rsidRPr="00284463" w:rsidRDefault="00E16D43" w:rsidP="00E16D43">
      <w:pPr>
        <w:spacing w:after="120"/>
        <w:jc w:val="both"/>
        <w:rPr>
          <w:b/>
          <w:color w:val="000000"/>
          <w:lang w:val="cs-CZ"/>
        </w:rPr>
      </w:pPr>
      <w:r w:rsidRPr="00284463">
        <w:rPr>
          <w:b/>
          <w:color w:val="000000"/>
          <w:lang w:val="cs-CZ"/>
        </w:rPr>
        <w:t>Přehled aktivit programu Pomoc na místě v roce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656"/>
        <w:gridCol w:w="4292"/>
        <w:gridCol w:w="1958"/>
      </w:tblGrid>
      <w:tr w:rsidR="00E16D43" w:rsidRPr="00284463" w14:paraId="6001AB05" w14:textId="77777777" w:rsidTr="002153F7">
        <w:trPr>
          <w:trHeight w:val="853"/>
        </w:trPr>
        <w:tc>
          <w:tcPr>
            <w:tcW w:w="138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598983C" w14:textId="77777777" w:rsidR="00E16D43" w:rsidRPr="00284463" w:rsidRDefault="00E16D43" w:rsidP="002153F7">
            <w:pPr>
              <w:spacing w:after="120"/>
              <w:jc w:val="both"/>
              <w:rPr>
                <w:color w:val="000000"/>
                <w:lang w:val="cs-CZ"/>
              </w:rPr>
            </w:pPr>
            <w:r w:rsidRPr="00284463">
              <w:rPr>
                <w:color w:val="000000"/>
                <w:lang w:val="cs-CZ"/>
              </w:rPr>
              <w:t>Země</w:t>
            </w:r>
          </w:p>
        </w:tc>
        <w:tc>
          <w:tcPr>
            <w:tcW w:w="1559" w:type="dxa"/>
            <w:tcBorders>
              <w:top w:val="single" w:sz="4" w:space="0" w:color="auto"/>
              <w:left w:val="single" w:sz="4" w:space="0" w:color="auto"/>
              <w:bottom w:val="single" w:sz="4" w:space="0" w:color="auto"/>
              <w:right w:val="single" w:sz="4" w:space="0" w:color="auto"/>
            </w:tcBorders>
            <w:shd w:val="clear" w:color="auto" w:fill="8EAADB"/>
            <w:vAlign w:val="center"/>
          </w:tcPr>
          <w:p w14:paraId="6A15000C" w14:textId="77777777" w:rsidR="00E16D43" w:rsidRPr="00284463" w:rsidRDefault="00E16D43" w:rsidP="002153F7">
            <w:pPr>
              <w:spacing w:after="120"/>
              <w:jc w:val="both"/>
              <w:rPr>
                <w:color w:val="000000"/>
                <w:lang w:val="cs-CZ"/>
              </w:rPr>
            </w:pPr>
            <w:r w:rsidRPr="00284463">
              <w:rPr>
                <w:color w:val="000000"/>
                <w:lang w:val="cs-CZ"/>
              </w:rPr>
              <w:t>Implementační partner</w:t>
            </w:r>
          </w:p>
        </w:tc>
        <w:tc>
          <w:tcPr>
            <w:tcW w:w="4362"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42AFCCC9" w14:textId="77777777" w:rsidR="00E16D43" w:rsidRPr="00284463" w:rsidRDefault="00E16D43" w:rsidP="002153F7">
            <w:pPr>
              <w:jc w:val="both"/>
              <w:rPr>
                <w:color w:val="000000"/>
                <w:lang w:val="cs-CZ"/>
              </w:rPr>
            </w:pPr>
            <w:r w:rsidRPr="00284463">
              <w:rPr>
                <w:color w:val="000000"/>
                <w:lang w:val="cs-CZ"/>
              </w:rPr>
              <w:t>Charakteristika projektu a</w:t>
            </w:r>
          </w:p>
          <w:p w14:paraId="6D502198" w14:textId="77777777" w:rsidR="00E16D43" w:rsidRPr="00284463" w:rsidRDefault="00E16D43" w:rsidP="002153F7">
            <w:pPr>
              <w:spacing w:after="120"/>
              <w:jc w:val="both"/>
              <w:rPr>
                <w:color w:val="000000"/>
                <w:lang w:val="cs-CZ"/>
              </w:rPr>
            </w:pPr>
            <w:r w:rsidRPr="00284463">
              <w:rPr>
                <w:color w:val="000000"/>
                <w:lang w:val="cs-CZ"/>
              </w:rPr>
              <w:t>stav implementace</w:t>
            </w:r>
          </w:p>
        </w:tc>
        <w:tc>
          <w:tcPr>
            <w:tcW w:w="1983"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3625B79C" w14:textId="77777777" w:rsidR="00E16D43" w:rsidRPr="00284463" w:rsidRDefault="00E16D43" w:rsidP="002153F7">
            <w:pPr>
              <w:spacing w:after="120"/>
              <w:jc w:val="both"/>
              <w:rPr>
                <w:color w:val="000000"/>
                <w:lang w:val="cs-CZ"/>
              </w:rPr>
            </w:pPr>
            <w:r w:rsidRPr="00284463">
              <w:rPr>
                <w:color w:val="000000"/>
                <w:lang w:val="cs-CZ"/>
              </w:rPr>
              <w:t>Náklady (Kč)</w:t>
            </w:r>
          </w:p>
        </w:tc>
      </w:tr>
      <w:tr w:rsidR="00E16D43" w:rsidRPr="00284463" w14:paraId="0A5A9C75" w14:textId="77777777" w:rsidTr="002153F7">
        <w:trPr>
          <w:trHeight w:val="1404"/>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B0AC65E" w14:textId="77777777" w:rsidR="00E16D43" w:rsidRPr="00284463" w:rsidRDefault="00E16D43" w:rsidP="002153F7">
            <w:pPr>
              <w:jc w:val="both"/>
              <w:rPr>
                <w:color w:val="000000"/>
                <w:lang w:val="cs-CZ"/>
              </w:rPr>
            </w:pPr>
            <w:r w:rsidRPr="00284463">
              <w:rPr>
                <w:color w:val="000000"/>
                <w:lang w:val="cs-CZ"/>
              </w:rPr>
              <w:t>Řecko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68DF0A" w14:textId="77777777" w:rsidR="00E16D43" w:rsidRPr="00284463" w:rsidRDefault="00E16D43" w:rsidP="002153F7">
            <w:pPr>
              <w:jc w:val="both"/>
              <w:rPr>
                <w:color w:val="000000"/>
                <w:lang w:val="cs-CZ"/>
              </w:rPr>
            </w:pPr>
            <w:r w:rsidRPr="00284463">
              <w:rPr>
                <w:color w:val="000000"/>
                <w:lang w:val="cs-CZ"/>
              </w:rPr>
              <w:t>Ministerstvo ochrany občanů Řecké republiky</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14:paraId="7D4142C5" w14:textId="77777777" w:rsidR="00E16D43" w:rsidRPr="00284463" w:rsidRDefault="00E16D43" w:rsidP="002153F7">
            <w:pPr>
              <w:jc w:val="both"/>
              <w:rPr>
                <w:color w:val="000000"/>
                <w:lang w:val="cs-CZ"/>
              </w:rPr>
            </w:pPr>
            <w:r w:rsidRPr="00284463">
              <w:rPr>
                <w:color w:val="000000"/>
                <w:lang w:val="cs-CZ"/>
              </w:rPr>
              <w:t>Dodávka materiální pomoci pro potřeby migrantů a uprchlíků v souvislosti s řešením aktuální migrační situace v Řecku. Realizace projektu byla ukončena.</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B6BFD" w14:textId="77777777" w:rsidR="00E16D43" w:rsidRPr="00284463" w:rsidRDefault="00E16D43" w:rsidP="002153F7">
            <w:pPr>
              <w:jc w:val="both"/>
              <w:rPr>
                <w:color w:val="000000"/>
                <w:lang w:val="cs-CZ"/>
              </w:rPr>
            </w:pPr>
            <w:r w:rsidRPr="00284463">
              <w:rPr>
                <w:color w:val="000000"/>
                <w:lang w:val="cs-CZ"/>
              </w:rPr>
              <w:t>2 700 000</w:t>
            </w:r>
          </w:p>
        </w:tc>
      </w:tr>
      <w:tr w:rsidR="00E16D43" w:rsidRPr="00284463" w14:paraId="1FBBAC9E" w14:textId="77777777" w:rsidTr="002153F7">
        <w:trPr>
          <w:trHeight w:val="1410"/>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130FC49" w14:textId="77777777" w:rsidR="00E16D43" w:rsidRPr="00284463" w:rsidRDefault="00E16D43" w:rsidP="002153F7">
            <w:pPr>
              <w:jc w:val="both"/>
              <w:rPr>
                <w:color w:val="000000"/>
                <w:lang w:val="cs-CZ"/>
              </w:rPr>
            </w:pPr>
            <w:r w:rsidRPr="00284463">
              <w:rPr>
                <w:color w:val="000000"/>
                <w:lang w:val="cs-CZ"/>
              </w:rPr>
              <w:t>Řecko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4B56CE" w14:textId="77777777" w:rsidR="00E16D43" w:rsidRPr="00284463" w:rsidRDefault="00E16D43" w:rsidP="002153F7">
            <w:pPr>
              <w:jc w:val="both"/>
              <w:rPr>
                <w:color w:val="000000"/>
                <w:lang w:val="cs-CZ"/>
              </w:rPr>
            </w:pPr>
            <w:r w:rsidRPr="00284463">
              <w:rPr>
                <w:color w:val="000000"/>
                <w:lang w:val="cs-CZ"/>
              </w:rPr>
              <w:t>Ministerstvo ochrany občanů Řecké republiky</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14:paraId="684E1851" w14:textId="77777777" w:rsidR="00E16D43" w:rsidRPr="00284463" w:rsidRDefault="00E16D43" w:rsidP="002153F7">
            <w:pPr>
              <w:jc w:val="both"/>
              <w:rPr>
                <w:color w:val="000000"/>
                <w:lang w:val="cs-CZ"/>
              </w:rPr>
            </w:pPr>
            <w:r w:rsidRPr="00284463">
              <w:rPr>
                <w:color w:val="000000"/>
                <w:lang w:val="cs-CZ"/>
              </w:rPr>
              <w:t>Poskytnutí peněžního daru, jehož cílem je přispět k prevenci nelegální migrace na řecko-tureckých hranicích. Realizace projektu probíhá a bude ukončena v srpnu 2022.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7C274" w14:textId="77777777" w:rsidR="00E16D43" w:rsidRPr="00284463" w:rsidRDefault="00E16D43" w:rsidP="002153F7">
            <w:pPr>
              <w:jc w:val="both"/>
              <w:rPr>
                <w:color w:val="000000"/>
                <w:lang w:val="cs-CZ"/>
              </w:rPr>
            </w:pPr>
            <w:r w:rsidRPr="00284463">
              <w:rPr>
                <w:color w:val="000000"/>
                <w:lang w:val="cs-CZ"/>
              </w:rPr>
              <w:t>27 000 000</w:t>
            </w:r>
          </w:p>
        </w:tc>
      </w:tr>
      <w:tr w:rsidR="00E16D43" w:rsidRPr="00284463" w14:paraId="29731713" w14:textId="77777777" w:rsidTr="002153F7">
        <w:trPr>
          <w:trHeight w:val="1700"/>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DD9E005" w14:textId="77777777" w:rsidR="00E16D43" w:rsidRPr="00284463" w:rsidRDefault="00E16D43" w:rsidP="002153F7">
            <w:pPr>
              <w:jc w:val="both"/>
              <w:rPr>
                <w:color w:val="000000"/>
                <w:lang w:val="cs-CZ"/>
              </w:rPr>
            </w:pPr>
            <w:r w:rsidRPr="00284463">
              <w:rPr>
                <w:color w:val="000000"/>
                <w:lang w:val="cs-CZ"/>
              </w:rPr>
              <w:t>Srbsko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74099E" w14:textId="77777777" w:rsidR="00E16D43" w:rsidRPr="00284463" w:rsidRDefault="00E16D43" w:rsidP="002153F7">
            <w:pPr>
              <w:jc w:val="both"/>
              <w:rPr>
                <w:color w:val="000000"/>
                <w:lang w:val="cs-CZ"/>
              </w:rPr>
            </w:pPr>
            <w:r w:rsidRPr="00284463">
              <w:rPr>
                <w:color w:val="000000"/>
                <w:lang w:val="cs-CZ"/>
              </w:rPr>
              <w:t>Úřad Vysokého komisaře OSN pro uprchlíky (UNHCR)</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14:paraId="40A1B828" w14:textId="77777777" w:rsidR="00E16D43" w:rsidRPr="00284463" w:rsidRDefault="00E16D43" w:rsidP="002153F7">
            <w:pPr>
              <w:jc w:val="both"/>
              <w:rPr>
                <w:color w:val="000000"/>
                <w:lang w:val="cs-CZ"/>
              </w:rPr>
            </w:pPr>
            <w:r w:rsidRPr="00284463">
              <w:rPr>
                <w:color w:val="000000"/>
                <w:lang w:val="cs-CZ"/>
              </w:rPr>
              <w:t>Podpora přístupu uprchlíků k azylovému řízení v Srbsku a podpora integračních opatření v situaci pandemie COVID-19, a to zejména pro nezletilé bez doprovodu. Realizace projektu byla ukončena v prosinci 2020.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2B47F" w14:textId="77777777" w:rsidR="00E16D43" w:rsidRPr="00284463" w:rsidRDefault="00E16D43" w:rsidP="002153F7">
            <w:pPr>
              <w:jc w:val="both"/>
              <w:rPr>
                <w:color w:val="000000"/>
                <w:lang w:val="cs-CZ"/>
              </w:rPr>
            </w:pPr>
            <w:r w:rsidRPr="00284463">
              <w:rPr>
                <w:color w:val="000000"/>
                <w:lang w:val="cs-CZ"/>
              </w:rPr>
              <w:t>20 000 000</w:t>
            </w:r>
          </w:p>
        </w:tc>
      </w:tr>
      <w:tr w:rsidR="00E16D43" w:rsidRPr="00284463" w14:paraId="5440D775" w14:textId="77777777" w:rsidTr="002153F7">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F48EA73" w14:textId="77777777" w:rsidR="00E16D43" w:rsidRPr="00284463" w:rsidRDefault="00E16D43" w:rsidP="002153F7">
            <w:pPr>
              <w:jc w:val="both"/>
              <w:rPr>
                <w:color w:val="000000"/>
                <w:lang w:val="cs-CZ"/>
              </w:rPr>
            </w:pPr>
            <w:r w:rsidRPr="00284463">
              <w:rPr>
                <w:color w:val="000000"/>
                <w:lang w:val="cs-CZ"/>
              </w:rPr>
              <w:t>Libanon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57209B" w14:textId="77777777" w:rsidR="00E16D43" w:rsidRPr="00284463" w:rsidRDefault="00E16D43" w:rsidP="002153F7">
            <w:pPr>
              <w:jc w:val="both"/>
              <w:rPr>
                <w:color w:val="000000"/>
                <w:lang w:val="cs-CZ"/>
              </w:rPr>
            </w:pPr>
            <w:r w:rsidRPr="00284463">
              <w:rPr>
                <w:color w:val="000000"/>
                <w:lang w:val="cs-CZ"/>
              </w:rPr>
              <w:t>Úřad Vysokého komisaře OSN pro uprchlíky (UNHCR)</w:t>
            </w:r>
          </w:p>
          <w:p w14:paraId="088ACA8E" w14:textId="77777777" w:rsidR="00E16D43" w:rsidRPr="00284463" w:rsidRDefault="00E16D43" w:rsidP="002153F7">
            <w:pPr>
              <w:jc w:val="both"/>
              <w:rPr>
                <w:color w:val="000000"/>
                <w:lang w:val="cs-CZ"/>
              </w:rPr>
            </w:pP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14:paraId="4F8960F5" w14:textId="77777777" w:rsidR="00E16D43" w:rsidRPr="00284463" w:rsidRDefault="00E16D43" w:rsidP="002153F7">
            <w:pPr>
              <w:jc w:val="both"/>
              <w:rPr>
                <w:color w:val="000000"/>
                <w:lang w:val="cs-CZ"/>
              </w:rPr>
            </w:pPr>
            <w:r w:rsidRPr="00284463">
              <w:rPr>
                <w:color w:val="000000"/>
                <w:lang w:val="cs-CZ"/>
              </w:rPr>
              <w:t>Podpora syrských uprchlíků v Libanonu v souvislosti s pandemií COVID-19: potřebný materiál a poskytnutí urgentní zdravotní péče pro 440 nejvíce zranitelných uprchlíků. Realizace projektu byla ukončena v prosinci 2020.</w:t>
            </w:r>
          </w:p>
          <w:p w14:paraId="645979C2" w14:textId="77777777" w:rsidR="00E16D43" w:rsidRPr="00284463" w:rsidRDefault="00E16D43" w:rsidP="002153F7">
            <w:pPr>
              <w:jc w:val="both"/>
              <w:rPr>
                <w:color w:val="000000"/>
                <w:lang w:val="cs-CZ"/>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0F0C0" w14:textId="77777777" w:rsidR="00E16D43" w:rsidRPr="00284463" w:rsidRDefault="00E16D43" w:rsidP="002153F7">
            <w:pPr>
              <w:jc w:val="both"/>
              <w:rPr>
                <w:color w:val="000000"/>
                <w:lang w:val="cs-CZ"/>
              </w:rPr>
            </w:pPr>
            <w:r w:rsidRPr="00284463">
              <w:rPr>
                <w:color w:val="000000"/>
                <w:lang w:val="cs-CZ"/>
              </w:rPr>
              <w:t>10 000 000</w:t>
            </w:r>
          </w:p>
        </w:tc>
      </w:tr>
      <w:tr w:rsidR="00E16D43" w:rsidRPr="00284463" w14:paraId="37C7CE36" w14:textId="77777777" w:rsidTr="002153F7">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69677F2" w14:textId="77777777" w:rsidR="00E16D43" w:rsidRPr="00284463" w:rsidRDefault="00E16D43" w:rsidP="002153F7">
            <w:pPr>
              <w:jc w:val="both"/>
              <w:rPr>
                <w:color w:val="000000"/>
                <w:lang w:val="cs-CZ"/>
              </w:rPr>
            </w:pPr>
            <w:r w:rsidRPr="00284463">
              <w:rPr>
                <w:color w:val="000000"/>
                <w:lang w:val="cs-CZ"/>
              </w:rPr>
              <w:t>Jordánsko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8473F3" w14:textId="77777777" w:rsidR="00E16D43" w:rsidRPr="00284463" w:rsidRDefault="00E16D43" w:rsidP="002153F7">
            <w:pPr>
              <w:jc w:val="both"/>
              <w:rPr>
                <w:color w:val="000000"/>
                <w:lang w:val="cs-CZ"/>
              </w:rPr>
            </w:pPr>
            <w:r w:rsidRPr="00284463">
              <w:rPr>
                <w:color w:val="000000"/>
                <w:lang w:val="cs-CZ"/>
              </w:rPr>
              <w:t>Úřad Vysokého komisaře OSN pro uprchlíky (UNHCR)</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14:paraId="256126D7" w14:textId="77777777" w:rsidR="00E16D43" w:rsidRPr="00284463" w:rsidRDefault="00E16D43" w:rsidP="002153F7">
            <w:pPr>
              <w:jc w:val="both"/>
              <w:rPr>
                <w:color w:val="000000"/>
                <w:lang w:val="cs-CZ"/>
              </w:rPr>
            </w:pPr>
            <w:r w:rsidRPr="00284463">
              <w:rPr>
                <w:color w:val="000000"/>
                <w:lang w:val="cs-CZ"/>
              </w:rPr>
              <w:t>Podpora vyššího vzdělání syrských uprchlíků v Jordánsku prostřednictvím programu UNHCR s názvem DAFI. Realizace byla zahájena v listopadu 2020 a bude ukončena v říjnu 2021.</w:t>
            </w:r>
          </w:p>
          <w:p w14:paraId="1B1BDFB9" w14:textId="77777777" w:rsidR="00E16D43" w:rsidRPr="00284463" w:rsidRDefault="00E16D43" w:rsidP="002153F7">
            <w:pPr>
              <w:jc w:val="both"/>
              <w:rPr>
                <w:color w:val="000000"/>
                <w:lang w:val="cs-CZ"/>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278FA" w14:textId="77777777" w:rsidR="00E16D43" w:rsidRPr="00284463" w:rsidRDefault="00E16D43" w:rsidP="002153F7">
            <w:pPr>
              <w:jc w:val="both"/>
              <w:rPr>
                <w:color w:val="000000"/>
                <w:lang w:val="cs-CZ"/>
              </w:rPr>
            </w:pPr>
            <w:r w:rsidRPr="00284463">
              <w:rPr>
                <w:color w:val="000000"/>
                <w:lang w:val="cs-CZ"/>
              </w:rPr>
              <w:t>25 mil. Kč</w:t>
            </w:r>
          </w:p>
        </w:tc>
      </w:tr>
      <w:tr w:rsidR="00E16D43" w:rsidRPr="00284463" w14:paraId="0304F86B" w14:textId="77777777" w:rsidTr="002153F7">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73EBAB9" w14:textId="77777777" w:rsidR="00E16D43" w:rsidRPr="00284463" w:rsidRDefault="00E16D43" w:rsidP="002153F7">
            <w:pPr>
              <w:jc w:val="both"/>
              <w:rPr>
                <w:color w:val="000000"/>
                <w:lang w:val="cs-CZ"/>
              </w:rPr>
            </w:pPr>
            <w:r w:rsidRPr="00284463">
              <w:rPr>
                <w:color w:val="000000"/>
                <w:lang w:val="cs-CZ"/>
              </w:rPr>
              <w:t>Jordánsko, Irák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8DFB2A" w14:textId="77777777" w:rsidR="00E16D43" w:rsidRPr="00284463" w:rsidRDefault="00E16D43" w:rsidP="002153F7">
            <w:pPr>
              <w:jc w:val="both"/>
              <w:rPr>
                <w:color w:val="000000"/>
                <w:lang w:val="cs-CZ"/>
              </w:rPr>
            </w:pPr>
            <w:r w:rsidRPr="00284463">
              <w:rPr>
                <w:color w:val="000000"/>
                <w:lang w:val="cs-CZ"/>
              </w:rPr>
              <w:t>Mezinárodní organizace pro migraci (IOM)</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14:paraId="3DE93753" w14:textId="77777777" w:rsidR="00E16D43" w:rsidRPr="00284463" w:rsidRDefault="00E16D43" w:rsidP="002153F7">
            <w:pPr>
              <w:jc w:val="both"/>
              <w:rPr>
                <w:color w:val="000000"/>
                <w:lang w:val="cs-CZ"/>
              </w:rPr>
            </w:pPr>
            <w:r w:rsidRPr="00284463">
              <w:rPr>
                <w:color w:val="000000"/>
                <w:lang w:val="cs-CZ"/>
              </w:rPr>
              <w:t>Jordánsko: Posílení kapacit na jordánských hraničních přechodech v souvislosti s pandemií COVID-19.</w:t>
            </w:r>
          </w:p>
          <w:p w14:paraId="36FC466A" w14:textId="77777777" w:rsidR="00E16D43" w:rsidRPr="00284463" w:rsidRDefault="00E16D43" w:rsidP="002153F7">
            <w:pPr>
              <w:jc w:val="both"/>
              <w:rPr>
                <w:color w:val="000000"/>
                <w:lang w:val="cs-CZ"/>
              </w:rPr>
            </w:pPr>
            <w:r w:rsidRPr="00284463">
              <w:rPr>
                <w:color w:val="000000"/>
                <w:lang w:val="cs-CZ"/>
              </w:rPr>
              <w:t>Irák: Stabilizace migrantů v zemi či jejich návrat do země původu.</w:t>
            </w:r>
          </w:p>
          <w:p w14:paraId="0726337E" w14:textId="77777777" w:rsidR="00E16D43" w:rsidRPr="00284463" w:rsidRDefault="00E16D43" w:rsidP="002153F7">
            <w:pPr>
              <w:jc w:val="both"/>
              <w:rPr>
                <w:color w:val="000000"/>
                <w:lang w:val="cs-CZ"/>
              </w:rPr>
            </w:pPr>
            <w:r w:rsidRPr="00284463">
              <w:rPr>
                <w:color w:val="000000"/>
                <w:lang w:val="cs-CZ"/>
              </w:rPr>
              <w:t>Realizace obou částí projektu byla zahájena v listopadu 2020 a bude ukončena v říjnu 2021.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21A39" w14:textId="77777777" w:rsidR="00E16D43" w:rsidRPr="00284463" w:rsidRDefault="00E16D43" w:rsidP="002153F7">
            <w:pPr>
              <w:jc w:val="both"/>
              <w:rPr>
                <w:color w:val="000000"/>
                <w:lang w:val="cs-CZ"/>
              </w:rPr>
            </w:pPr>
            <w:r w:rsidRPr="00284463">
              <w:rPr>
                <w:color w:val="000000"/>
                <w:lang w:val="cs-CZ"/>
              </w:rPr>
              <w:t>25 000 000</w:t>
            </w:r>
          </w:p>
        </w:tc>
      </w:tr>
      <w:tr w:rsidR="00E16D43" w:rsidRPr="00284463" w14:paraId="3181300F" w14:textId="77777777" w:rsidTr="002153F7">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0BAD013" w14:textId="77777777" w:rsidR="00E16D43" w:rsidRPr="00284463" w:rsidRDefault="00E16D43" w:rsidP="002153F7">
            <w:pPr>
              <w:jc w:val="both"/>
              <w:rPr>
                <w:color w:val="000000"/>
                <w:lang w:val="cs-CZ"/>
              </w:rPr>
            </w:pPr>
            <w:r w:rsidRPr="00284463">
              <w:rPr>
                <w:color w:val="000000"/>
                <w:lang w:val="cs-CZ"/>
              </w:rPr>
              <w:t>Libye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CD5361" w14:textId="77777777" w:rsidR="00E16D43" w:rsidRPr="00284463" w:rsidRDefault="00E16D43" w:rsidP="002153F7">
            <w:pPr>
              <w:jc w:val="both"/>
              <w:rPr>
                <w:color w:val="000000"/>
                <w:lang w:val="cs-CZ"/>
              </w:rPr>
            </w:pPr>
            <w:r w:rsidRPr="00284463">
              <w:rPr>
                <w:color w:val="000000"/>
                <w:lang w:val="cs-CZ"/>
              </w:rPr>
              <w:t>Světový potravinový program (WFP)</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14:paraId="65047EFC" w14:textId="77777777" w:rsidR="00E16D43" w:rsidRPr="00284463" w:rsidRDefault="00E16D43" w:rsidP="002153F7">
            <w:pPr>
              <w:jc w:val="both"/>
              <w:rPr>
                <w:color w:val="000000"/>
                <w:lang w:val="cs-CZ"/>
              </w:rPr>
            </w:pPr>
            <w:r w:rsidRPr="00284463">
              <w:rPr>
                <w:color w:val="000000"/>
                <w:lang w:val="cs-CZ"/>
              </w:rPr>
              <w:t>Stabilizace uprchlíků, migrantů a vnitřně vysídlených osob na území Libye.</w:t>
            </w:r>
          </w:p>
          <w:p w14:paraId="78888613" w14:textId="77777777" w:rsidR="00E16D43" w:rsidRPr="00284463" w:rsidRDefault="00E16D43" w:rsidP="002153F7">
            <w:pPr>
              <w:jc w:val="both"/>
              <w:rPr>
                <w:color w:val="000000"/>
                <w:lang w:val="cs-CZ"/>
              </w:rPr>
            </w:pPr>
            <w:r w:rsidRPr="00284463">
              <w:rPr>
                <w:color w:val="000000"/>
                <w:lang w:val="cs-CZ"/>
              </w:rPr>
              <w:t xml:space="preserve">Realizace projektu byla zahájena v listopadu 2020 a bude ukončena v říjnu </w:t>
            </w:r>
            <w:r w:rsidRPr="00284463">
              <w:rPr>
                <w:color w:val="000000"/>
                <w:lang w:val="cs-CZ"/>
              </w:rPr>
              <w:lastRenderedPageBreak/>
              <w:t>2021.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82C3" w14:textId="77777777" w:rsidR="00E16D43" w:rsidRPr="00284463" w:rsidRDefault="00E16D43" w:rsidP="002153F7">
            <w:pPr>
              <w:jc w:val="both"/>
              <w:rPr>
                <w:color w:val="000000"/>
                <w:lang w:val="cs-CZ"/>
              </w:rPr>
            </w:pPr>
            <w:r w:rsidRPr="00284463">
              <w:rPr>
                <w:color w:val="000000"/>
                <w:lang w:val="cs-CZ"/>
              </w:rPr>
              <w:lastRenderedPageBreak/>
              <w:t>10 000 000</w:t>
            </w:r>
          </w:p>
        </w:tc>
      </w:tr>
      <w:tr w:rsidR="00E16D43" w:rsidRPr="00284463" w14:paraId="6A0BE3D4" w14:textId="77777777" w:rsidTr="002153F7">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41D7249" w14:textId="77777777" w:rsidR="00E16D43" w:rsidRPr="00284463" w:rsidRDefault="00E16D43" w:rsidP="002153F7">
            <w:pPr>
              <w:jc w:val="both"/>
              <w:rPr>
                <w:color w:val="000000"/>
                <w:lang w:val="cs-CZ"/>
              </w:rPr>
            </w:pPr>
            <w:r w:rsidRPr="00284463">
              <w:rPr>
                <w:color w:val="000000"/>
                <w:lang w:val="cs-CZ"/>
              </w:rPr>
              <w:lastRenderedPageBreak/>
              <w:t>Severní Afrika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B63542" w14:textId="77777777" w:rsidR="00E16D43" w:rsidRPr="00284463" w:rsidRDefault="00E16D43" w:rsidP="002153F7">
            <w:pPr>
              <w:jc w:val="both"/>
              <w:rPr>
                <w:color w:val="000000"/>
                <w:lang w:val="cs-CZ"/>
              </w:rPr>
            </w:pPr>
            <w:r w:rsidRPr="00284463">
              <w:rPr>
                <w:color w:val="000000"/>
                <w:lang w:val="cs-CZ"/>
              </w:rPr>
              <w:t>Evropský podpůrný azylový úřad (EASO)</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14:paraId="4125FD8B" w14:textId="77777777" w:rsidR="00E16D43" w:rsidRPr="00284463" w:rsidRDefault="00E16D43" w:rsidP="002153F7">
            <w:pPr>
              <w:jc w:val="both"/>
              <w:rPr>
                <w:color w:val="000000"/>
                <w:lang w:val="cs-CZ"/>
              </w:rPr>
            </w:pPr>
            <w:r w:rsidRPr="00284463">
              <w:rPr>
                <w:color w:val="000000"/>
                <w:lang w:val="cs-CZ"/>
              </w:rPr>
              <w:t>Podpora azylových systémů států severní Afriky prostřednictvím pilotního projektu EASO, který spolufinancuje stejným dílem ČR a Dánsko a který je realizován v rámci Regionálního programu rozvoje a ochrany pro severní Afriku. Projekt byl oficiálně zahájen dne 16. 11. 2020, kdy se funkce ujal hlavní projektový koordinátor. Realizace projektu bude probíhat do října 2022.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C8BCB" w14:textId="77777777" w:rsidR="00E16D43" w:rsidRPr="00284463" w:rsidRDefault="00E16D43" w:rsidP="002153F7">
            <w:pPr>
              <w:jc w:val="both"/>
              <w:rPr>
                <w:color w:val="000000"/>
                <w:lang w:val="cs-CZ"/>
              </w:rPr>
            </w:pPr>
            <w:r w:rsidRPr="00284463">
              <w:rPr>
                <w:color w:val="000000"/>
                <w:lang w:val="cs-CZ"/>
              </w:rPr>
              <w:t>15 000 000</w:t>
            </w:r>
          </w:p>
        </w:tc>
      </w:tr>
      <w:tr w:rsidR="00E16D43" w:rsidRPr="00284463" w14:paraId="512617DB" w14:textId="77777777" w:rsidTr="002153F7">
        <w:tc>
          <w:tcPr>
            <w:tcW w:w="1384" w:type="dxa"/>
            <w:tcBorders>
              <w:top w:val="single" w:sz="4" w:space="0" w:color="auto"/>
              <w:left w:val="single" w:sz="4" w:space="0" w:color="auto"/>
              <w:bottom w:val="single" w:sz="4" w:space="0" w:color="auto"/>
              <w:right w:val="single" w:sz="4" w:space="0" w:color="auto"/>
            </w:tcBorders>
            <w:shd w:val="clear" w:color="auto" w:fill="8EAADB"/>
            <w:hideMark/>
          </w:tcPr>
          <w:p w14:paraId="65302A3C" w14:textId="77777777" w:rsidR="00E16D43" w:rsidRPr="00284463" w:rsidRDefault="00E16D43" w:rsidP="002153F7">
            <w:pPr>
              <w:spacing w:after="240"/>
              <w:jc w:val="both"/>
              <w:rPr>
                <w:color w:val="000000"/>
                <w:lang w:val="cs-CZ"/>
              </w:rPr>
            </w:pPr>
            <w:r w:rsidRPr="00284463">
              <w:rPr>
                <w:color w:val="000000"/>
                <w:lang w:val="cs-CZ"/>
              </w:rPr>
              <w:t>Celkem</w:t>
            </w:r>
          </w:p>
        </w:tc>
        <w:tc>
          <w:tcPr>
            <w:tcW w:w="1559" w:type="dxa"/>
            <w:tcBorders>
              <w:top w:val="single" w:sz="4" w:space="0" w:color="auto"/>
              <w:left w:val="single" w:sz="4" w:space="0" w:color="auto"/>
              <w:bottom w:val="single" w:sz="4" w:space="0" w:color="auto"/>
              <w:right w:val="single" w:sz="4" w:space="0" w:color="auto"/>
            </w:tcBorders>
            <w:shd w:val="clear" w:color="auto" w:fill="8EAADB"/>
          </w:tcPr>
          <w:p w14:paraId="03D1210F" w14:textId="77777777" w:rsidR="00E16D43" w:rsidRPr="00284463" w:rsidRDefault="00E16D43" w:rsidP="002153F7">
            <w:pPr>
              <w:spacing w:after="240"/>
              <w:jc w:val="both"/>
              <w:rPr>
                <w:color w:val="000000"/>
                <w:lang w:val="cs-CZ"/>
              </w:rPr>
            </w:pPr>
          </w:p>
        </w:tc>
        <w:tc>
          <w:tcPr>
            <w:tcW w:w="4362" w:type="dxa"/>
            <w:tcBorders>
              <w:top w:val="single" w:sz="4" w:space="0" w:color="auto"/>
              <w:left w:val="single" w:sz="4" w:space="0" w:color="auto"/>
              <w:bottom w:val="single" w:sz="4" w:space="0" w:color="auto"/>
              <w:right w:val="single" w:sz="4" w:space="0" w:color="auto"/>
            </w:tcBorders>
            <w:shd w:val="clear" w:color="auto" w:fill="8EAADB"/>
          </w:tcPr>
          <w:p w14:paraId="08EDE716" w14:textId="77777777" w:rsidR="00E16D43" w:rsidRPr="00284463" w:rsidRDefault="00E16D43" w:rsidP="002153F7">
            <w:pPr>
              <w:spacing w:after="240"/>
              <w:jc w:val="both"/>
              <w:rPr>
                <w:color w:val="000000"/>
                <w:lang w:val="cs-CZ"/>
              </w:rPr>
            </w:pPr>
          </w:p>
        </w:tc>
        <w:tc>
          <w:tcPr>
            <w:tcW w:w="1983"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9C6F808" w14:textId="77777777" w:rsidR="00E16D43" w:rsidRPr="00284463" w:rsidRDefault="00E16D43" w:rsidP="002153F7">
            <w:pPr>
              <w:spacing w:after="240"/>
              <w:jc w:val="both"/>
              <w:rPr>
                <w:color w:val="000000"/>
                <w:lang w:val="cs-CZ"/>
              </w:rPr>
            </w:pPr>
            <w:r w:rsidRPr="00284463">
              <w:rPr>
                <w:color w:val="000000"/>
                <w:lang w:val="cs-CZ"/>
              </w:rPr>
              <w:t>134 700 000*</w:t>
            </w:r>
          </w:p>
        </w:tc>
      </w:tr>
    </w:tbl>
    <w:p w14:paraId="3D6E1B4E" w14:textId="77777777" w:rsidR="00E16D43" w:rsidRPr="00284463" w:rsidRDefault="00E16D43" w:rsidP="00E16D43">
      <w:pPr>
        <w:jc w:val="both"/>
        <w:rPr>
          <w:color w:val="000000"/>
          <w:lang w:val="cs-CZ"/>
        </w:rPr>
      </w:pPr>
      <w:r w:rsidRPr="00284463">
        <w:rPr>
          <w:color w:val="000000"/>
          <w:lang w:val="cs-CZ"/>
        </w:rPr>
        <w:t>*Zůstatek ve výši cca 300 000 Kč byl využit k pokrytí kurzových ztrát, které vznikly při realizaci programu Pomoc na místě v průběhu roku 2020.</w:t>
      </w:r>
    </w:p>
    <w:p w14:paraId="441A44A5" w14:textId="77777777" w:rsidR="00E16D43" w:rsidRPr="00284463" w:rsidRDefault="00E16D43" w:rsidP="00E16D43">
      <w:pPr>
        <w:jc w:val="both"/>
        <w:rPr>
          <w:color w:val="000000"/>
          <w:lang w:val="cs-CZ"/>
        </w:rPr>
      </w:pPr>
    </w:p>
    <w:p w14:paraId="3EC84875" w14:textId="17BF9159" w:rsidR="00E16D43" w:rsidRPr="00284463" w:rsidRDefault="00E16D43" w:rsidP="00E16D43">
      <w:pPr>
        <w:jc w:val="both"/>
        <w:rPr>
          <w:color w:val="000000"/>
          <w:lang w:val="cs-CZ"/>
        </w:rPr>
      </w:pPr>
      <w:r w:rsidRPr="00284463">
        <w:rPr>
          <w:b/>
          <w:color w:val="000000"/>
          <w:lang w:val="cs-CZ"/>
        </w:rPr>
        <w:t>Nad rámec rozpočtu programu Pomoc na místě</w:t>
      </w:r>
      <w:r w:rsidRPr="00284463">
        <w:rPr>
          <w:color w:val="000000"/>
          <w:lang w:val="cs-CZ"/>
        </w:rPr>
        <w:t xml:space="preserve"> realizovalo MV v lednu 2020 urgentní </w:t>
      </w:r>
      <w:r w:rsidRPr="00284463">
        <w:rPr>
          <w:b/>
          <w:color w:val="000000"/>
          <w:lang w:val="cs-CZ"/>
        </w:rPr>
        <w:t xml:space="preserve">materiální pomoc do Bosny a Hercegoviny </w:t>
      </w:r>
      <w:r w:rsidRPr="00284463">
        <w:rPr>
          <w:color w:val="000000"/>
          <w:lang w:val="cs-CZ"/>
        </w:rPr>
        <w:t xml:space="preserve">v reakci na přeplněné ubytovací kapacity a příchod zimy. Pomoc byla poskytnuta ve spolupráci s Hasičským záchranným sborem ČR. Místním partnerem, který zajistil distribuci pomoci zranitelným migrantům/migrantkám a uprchlíkům v Bosně a Hercegovině byl Červený kříž Bosny a Hercegovina. Hodnota materiálního daru </w:t>
      </w:r>
      <w:r w:rsidRPr="00284463">
        <w:rPr>
          <w:b/>
          <w:color w:val="000000"/>
          <w:lang w:val="cs-CZ"/>
        </w:rPr>
        <w:t>činila 2,5 mil. Kč</w:t>
      </w:r>
      <w:r w:rsidRPr="00284463">
        <w:rPr>
          <w:color w:val="000000"/>
          <w:lang w:val="cs-CZ"/>
        </w:rPr>
        <w:t>. Do Bosny a Hercegoviny byly dopraveny například přikrývky, spací pytle, pláštěnky či nádobí.</w:t>
      </w:r>
    </w:p>
    <w:p w14:paraId="2B37B084" w14:textId="77777777" w:rsidR="002974EB" w:rsidRPr="00284463" w:rsidRDefault="002974EB" w:rsidP="00A07E82">
      <w:pPr>
        <w:jc w:val="both"/>
        <w:rPr>
          <w:color w:val="000000"/>
          <w:lang w:val="cs-CZ"/>
        </w:rPr>
      </w:pPr>
    </w:p>
    <w:p w14:paraId="6292F592" w14:textId="6A7E8E23" w:rsidR="00EF0876" w:rsidRPr="00284463" w:rsidRDefault="00E16D43" w:rsidP="00506815">
      <w:pPr>
        <w:snapToGrid w:val="0"/>
        <w:spacing w:after="120"/>
        <w:jc w:val="both"/>
        <w:rPr>
          <w:color w:val="000000"/>
          <w:lang w:val="cs-CZ"/>
        </w:rPr>
      </w:pPr>
      <w:r w:rsidRPr="00284463">
        <w:rPr>
          <w:b/>
          <w:color w:val="000000"/>
          <w:lang w:val="cs-CZ"/>
        </w:rPr>
        <w:t>Státní integrační program</w:t>
      </w:r>
      <w:r w:rsidRPr="00284463">
        <w:rPr>
          <w:color w:val="000000"/>
          <w:lang w:val="cs-CZ"/>
        </w:rPr>
        <w:t xml:space="preserve"> je zaměřen na komplexní podporu osob s udělenou mezinárodní ochranou v sociální, zdravotní a hmotné oblasti života. Jedná se o program konstruovaný na striktně individuální bázi, a proto není možné v jeho rámci vytvářet žádné mimořádné nástroje pro jednotlivé skupiny. Individualizovaný přístup je v tomto ohledu vstřícnější než obecná opatření a umožňuje efektivně zohlednit potřeby dané jak příslušností ke genderové skupině, tak i k ohroženým a marginalizovaným skupinám.</w:t>
      </w:r>
    </w:p>
    <w:p w14:paraId="141FBFA4" w14:textId="77777777" w:rsidR="00F004BA" w:rsidRPr="00284463" w:rsidRDefault="00F004BA" w:rsidP="00E16D43">
      <w:pPr>
        <w:snapToGrid w:val="0"/>
        <w:spacing w:after="120" w:line="276" w:lineRule="auto"/>
        <w:jc w:val="both"/>
        <w:rPr>
          <w:lang w:val="cs-CZ"/>
        </w:rPr>
      </w:pPr>
    </w:p>
    <w:p w14:paraId="12D72C02" w14:textId="77777777" w:rsidR="00665146" w:rsidRPr="00284463" w:rsidRDefault="00665146" w:rsidP="005B4495">
      <w:pPr>
        <w:pStyle w:val="Nadpis2"/>
        <w:pBdr>
          <w:bottom w:val="single" w:sz="4" w:space="1" w:color="4F81BD"/>
        </w:pBdr>
        <w:rPr>
          <w:rFonts w:ascii="Times New Roman" w:hAnsi="Times New Roman"/>
          <w:i w:val="0"/>
          <w:color w:val="2F5496" w:themeColor="accent1" w:themeShade="BF"/>
          <w:lang w:val="cs-CZ"/>
        </w:rPr>
      </w:pPr>
      <w:bookmarkStart w:id="30" w:name="_Toc39673344"/>
      <w:r w:rsidRPr="00284463">
        <w:rPr>
          <w:rFonts w:ascii="Times New Roman" w:hAnsi="Times New Roman"/>
          <w:i w:val="0"/>
          <w:color w:val="2F5496" w:themeColor="accent1" w:themeShade="BF"/>
          <w:lang w:val="cs-CZ"/>
        </w:rPr>
        <w:t>Úkol č. 16</w:t>
      </w:r>
      <w:bookmarkEnd w:id="30"/>
    </w:p>
    <w:p w14:paraId="63C004E4" w14:textId="77777777" w:rsidR="00052CA2" w:rsidRPr="00284463" w:rsidRDefault="00665146" w:rsidP="008E78B4">
      <w:pPr>
        <w:snapToGrid w:val="0"/>
        <w:spacing w:after="120" w:line="276" w:lineRule="auto"/>
        <w:jc w:val="both"/>
        <w:rPr>
          <w:b/>
          <w:lang w:val="cs-CZ" w:eastAsia="cs-CZ"/>
        </w:rPr>
      </w:pPr>
      <w:r w:rsidRPr="00284463">
        <w:rPr>
          <w:b/>
          <w:lang w:val="cs-CZ" w:eastAsia="cs-CZ"/>
        </w:rPr>
        <w:t xml:space="preserve">Obecný cíl: Podporovat vzdělávání dívek a žen v konfliktních a post-konfliktních oblastech </w:t>
      </w:r>
      <w:r w:rsidR="001045B8" w:rsidRPr="00284463">
        <w:rPr>
          <w:b/>
          <w:lang w:val="cs-CZ" w:eastAsia="cs-CZ"/>
        </w:rPr>
        <w:t>jako předpoklad</w:t>
      </w:r>
      <w:r w:rsidRPr="00284463">
        <w:rPr>
          <w:b/>
          <w:lang w:val="cs-CZ" w:eastAsia="cs-CZ"/>
        </w:rPr>
        <w:t xml:space="preserve"> pro budoucí začlenění žen do rozhodovacích procesů</w:t>
      </w:r>
    </w:p>
    <w:p w14:paraId="5888998F" w14:textId="77777777" w:rsidR="00665146" w:rsidRPr="00284463" w:rsidRDefault="00665146" w:rsidP="008E78B4">
      <w:pPr>
        <w:snapToGrid w:val="0"/>
        <w:spacing w:after="120" w:line="276" w:lineRule="auto"/>
        <w:jc w:val="both"/>
        <w:rPr>
          <w:lang w:val="cs-CZ"/>
        </w:rPr>
      </w:pPr>
      <w:r w:rsidRPr="00284463">
        <w:rPr>
          <w:lang w:val="cs-CZ"/>
        </w:rPr>
        <w:t>Úkol:</w:t>
      </w:r>
    </w:p>
    <w:p w14:paraId="0B77F106" w14:textId="77777777" w:rsidR="00665146" w:rsidRPr="00284463" w:rsidRDefault="00665146" w:rsidP="008E78B4">
      <w:pPr>
        <w:numPr>
          <w:ilvl w:val="0"/>
          <w:numId w:val="6"/>
        </w:numPr>
        <w:snapToGrid w:val="0"/>
        <w:spacing w:after="120" w:line="276" w:lineRule="auto"/>
        <w:jc w:val="both"/>
        <w:rPr>
          <w:lang w:val="cs-CZ"/>
        </w:rPr>
      </w:pPr>
      <w:r w:rsidRPr="00284463">
        <w:rPr>
          <w:lang w:val="cs-CZ"/>
        </w:rPr>
        <w:t xml:space="preserve">Realizace projektů na podporu </w:t>
      </w:r>
      <w:r w:rsidRPr="00284463">
        <w:rPr>
          <w:lang w:val="cs-CZ" w:eastAsia="cs-CZ"/>
        </w:rPr>
        <w:t>vzdělávání dívek a žen v konfliktních a post-</w:t>
      </w:r>
      <w:r w:rsidR="00C1270D" w:rsidRPr="00284463">
        <w:rPr>
          <w:lang w:val="cs-CZ" w:eastAsia="cs-CZ"/>
        </w:rPr>
        <w:t>k</w:t>
      </w:r>
      <w:r w:rsidRPr="00284463">
        <w:rPr>
          <w:lang w:val="cs-CZ" w:eastAsia="cs-CZ"/>
        </w:rPr>
        <w:t>onfliktních oblastech</w:t>
      </w:r>
      <w:r w:rsidR="008E78B4" w:rsidRPr="00284463">
        <w:rPr>
          <w:lang w:val="cs-CZ" w:eastAsia="cs-CZ"/>
        </w:rPr>
        <w:t>.</w:t>
      </w:r>
    </w:p>
    <w:p w14:paraId="13662024" w14:textId="77777777" w:rsidR="00665146" w:rsidRPr="00284463" w:rsidRDefault="00665146" w:rsidP="007554FF">
      <w:pPr>
        <w:autoSpaceDE w:val="0"/>
        <w:autoSpaceDN w:val="0"/>
        <w:adjustRightInd w:val="0"/>
        <w:snapToGrid w:val="0"/>
        <w:spacing w:after="120" w:line="276" w:lineRule="auto"/>
        <w:jc w:val="both"/>
        <w:rPr>
          <w:lang w:val="cs-CZ"/>
        </w:rPr>
      </w:pPr>
    </w:p>
    <w:p w14:paraId="122CBC10" w14:textId="77777777" w:rsidR="00E16D43" w:rsidRPr="00284463" w:rsidRDefault="00E16D43" w:rsidP="00E16D43">
      <w:pPr>
        <w:spacing w:before="240"/>
        <w:jc w:val="both"/>
        <w:rPr>
          <w:lang w:val="cs-CZ"/>
        </w:rPr>
      </w:pPr>
      <w:r w:rsidRPr="00284463">
        <w:rPr>
          <w:color w:val="000000"/>
          <w:lang w:val="cs-CZ"/>
        </w:rPr>
        <w:t xml:space="preserve">Projekty na podporu vzdělávání dívek a žen v konfliktních a post-konfliktních oblastech pokračovaly v roce 2019 v Barmě v oblasti Kačjinského státu (humanitární projekty realizované Člověkem v tísni a organizací ADRA, oba s alokací 5 mil. Kč). </w:t>
      </w:r>
      <w:r w:rsidRPr="00284463">
        <w:rPr>
          <w:lang w:val="cs-CZ"/>
        </w:rPr>
        <w:t>Podpora Rohingya uprchlíků v Bangladéši a Barmě, s důrazem na zapojení dívek a žen do vzdělávání a do správy místních vysídlených komunit (Diakonie ČCE + LWF, 5 + 5 mil. Kč). Cash for Education program pro interně vysídlené obyvatele v Kačinském státu Barmy (ADRA, 5 mil. Kč)</w:t>
      </w:r>
    </w:p>
    <w:p w14:paraId="59376CC8" w14:textId="77777777" w:rsidR="00E16D43" w:rsidRPr="00284463" w:rsidRDefault="00E16D43" w:rsidP="00E16D43">
      <w:pPr>
        <w:spacing w:before="240"/>
        <w:jc w:val="both"/>
        <w:rPr>
          <w:color w:val="000000"/>
          <w:lang w:val="cs-CZ"/>
        </w:rPr>
      </w:pPr>
      <w:r w:rsidRPr="00284463">
        <w:rPr>
          <w:color w:val="000000"/>
          <w:lang w:val="cs-CZ"/>
        </w:rPr>
        <w:lastRenderedPageBreak/>
        <w:t xml:space="preserve">V Afghánistánu byla v srpnu 2020 slavnostně otevřena kompletně vybavená počítačová učebna, díky níž se studentky kábulské dívčí střední školy Mano Čehri naučí používat počítač a elektronicky zpracovávat informace (realizováno v rámci malého lokálního projektu). Na zranitelné skupiny uprchlíků, konkrétně žen ze Sýrie, Iráku, ale i Jordánska se zaměřil projekt realizovaný v Jordánsku, který zajistil odbornou profesní přípravu v potravinářském průmyslu (výroba a prodej cukrovinek) s cílem podpory zaměstnanosti žen. </w:t>
      </w:r>
      <w:r w:rsidRPr="00284463">
        <w:rPr>
          <w:lang w:val="cs-CZ"/>
        </w:rPr>
        <w:t>V Jordánsku byl v rámci stabilizace uprchlické ženské komunity v táboře Zarqa  rovněž realizován projekt zaměřený na výuku keramické výroby včetně propojení na místní trh (Diakonie ČCE + LWF, 5 mil. Kč). Dále byl</w:t>
      </w:r>
      <w:r w:rsidRPr="00284463">
        <w:rPr>
          <w:color w:val="000000"/>
          <w:lang w:val="cs-CZ"/>
        </w:rPr>
        <w:t xml:space="preserve"> realizován projekt na p</w:t>
      </w:r>
      <w:r w:rsidRPr="00284463">
        <w:rPr>
          <w:lang w:val="cs-CZ"/>
        </w:rPr>
        <w:t>odporu zapojení mladistvých matek z komunity syrských uprchlíků v Libanonu do vzdělávání a sociálního zabezpečení (Charita ČR, 5 mil. Kč)</w:t>
      </w:r>
      <w:r w:rsidRPr="00284463">
        <w:rPr>
          <w:color w:val="000000"/>
          <w:lang w:val="cs-CZ"/>
        </w:rPr>
        <w:t xml:space="preserve">. V </w:t>
      </w:r>
      <w:r w:rsidRPr="00284463">
        <w:rPr>
          <w:lang w:val="cs-CZ"/>
        </w:rPr>
        <w:t>Iráku a Sýrii byl realizován projekt na podporu vzdělávání dětí a mládeže se zvláštním zaměřením na ochranu dívek (Člověk v tísni, 2x 5 mil. Kč).</w:t>
      </w:r>
    </w:p>
    <w:p w14:paraId="20FCF24B" w14:textId="77777777" w:rsidR="00665146" w:rsidRPr="00284463" w:rsidRDefault="00665146" w:rsidP="007554FF">
      <w:pPr>
        <w:snapToGrid w:val="0"/>
        <w:spacing w:after="120" w:line="276" w:lineRule="auto"/>
        <w:rPr>
          <w:color w:val="FF0000"/>
          <w:lang w:val="cs-CZ"/>
        </w:rPr>
      </w:pPr>
    </w:p>
    <w:p w14:paraId="22E7FB3E" w14:textId="77777777" w:rsidR="00665146" w:rsidRPr="00284463" w:rsidRDefault="00665146" w:rsidP="005B4495">
      <w:pPr>
        <w:pStyle w:val="Nadpis2"/>
        <w:pBdr>
          <w:bottom w:val="single" w:sz="4" w:space="1" w:color="4F81BD"/>
        </w:pBdr>
        <w:rPr>
          <w:rFonts w:ascii="Times New Roman" w:hAnsi="Times New Roman"/>
          <w:i w:val="0"/>
          <w:color w:val="2F5496" w:themeColor="accent1" w:themeShade="BF"/>
          <w:lang w:val="cs-CZ"/>
        </w:rPr>
      </w:pPr>
      <w:bookmarkStart w:id="31" w:name="_Toc39673345"/>
      <w:r w:rsidRPr="00284463">
        <w:rPr>
          <w:rFonts w:ascii="Times New Roman" w:hAnsi="Times New Roman"/>
          <w:i w:val="0"/>
          <w:color w:val="2F5496" w:themeColor="accent1" w:themeShade="BF"/>
          <w:lang w:val="cs-CZ"/>
        </w:rPr>
        <w:t>Úkol č. 17</w:t>
      </w:r>
      <w:bookmarkEnd w:id="31"/>
    </w:p>
    <w:p w14:paraId="389E44C1" w14:textId="77777777" w:rsidR="00052CA2" w:rsidRPr="00284463" w:rsidRDefault="008E78B4" w:rsidP="008E78B4">
      <w:pPr>
        <w:snapToGrid w:val="0"/>
        <w:spacing w:after="120" w:line="276" w:lineRule="auto"/>
        <w:jc w:val="both"/>
        <w:rPr>
          <w:b/>
          <w:lang w:val="cs-CZ"/>
        </w:rPr>
      </w:pPr>
      <w:r w:rsidRPr="00284463">
        <w:rPr>
          <w:b/>
          <w:lang w:val="cs-CZ"/>
        </w:rPr>
        <w:t xml:space="preserve">Obecný cíl: </w:t>
      </w:r>
      <w:r w:rsidR="00665146" w:rsidRPr="00284463">
        <w:rPr>
          <w:b/>
          <w:lang w:val="cs-CZ"/>
        </w:rPr>
        <w:t>Nadále se zaměřovat na léčbu zranitelných skupin obyvatelstva (zejména žen a dětí) v rámci realizace aktivit programu MEDEVAC</w:t>
      </w:r>
    </w:p>
    <w:p w14:paraId="2AC061AD" w14:textId="77777777" w:rsidR="00665146" w:rsidRPr="00284463" w:rsidRDefault="00665146" w:rsidP="008E78B4">
      <w:pPr>
        <w:snapToGrid w:val="0"/>
        <w:spacing w:after="120" w:line="276" w:lineRule="auto"/>
        <w:jc w:val="both"/>
        <w:rPr>
          <w:lang w:val="cs-CZ"/>
        </w:rPr>
      </w:pPr>
      <w:r w:rsidRPr="00284463">
        <w:rPr>
          <w:lang w:val="cs-CZ"/>
        </w:rPr>
        <w:t>Úkol:</w:t>
      </w:r>
    </w:p>
    <w:p w14:paraId="31700137" w14:textId="77777777" w:rsidR="00665146" w:rsidRPr="00284463" w:rsidRDefault="00665146" w:rsidP="002036DB">
      <w:pPr>
        <w:numPr>
          <w:ilvl w:val="0"/>
          <w:numId w:val="6"/>
        </w:numPr>
        <w:snapToGrid w:val="0"/>
        <w:spacing w:line="276" w:lineRule="auto"/>
        <w:jc w:val="both"/>
        <w:rPr>
          <w:lang w:val="cs-CZ"/>
        </w:rPr>
      </w:pPr>
      <w:r w:rsidRPr="00284463">
        <w:rPr>
          <w:lang w:val="cs-CZ"/>
        </w:rPr>
        <w:t>Realizace programu MEDEVAC – vysílání českých lékařských týmů do post-konfliktních oblastí se zaměřením na poskytování lékařské péče ženám a dětem; léčba a operace zahraničních pacientů a pacientek z oblastí stižených uprchlickou krizí</w:t>
      </w:r>
      <w:r w:rsidR="005C7A09" w:rsidRPr="00284463">
        <w:rPr>
          <w:lang w:val="cs-CZ"/>
        </w:rPr>
        <w:t xml:space="preserve"> </w:t>
      </w:r>
      <w:r w:rsidRPr="00284463">
        <w:rPr>
          <w:lang w:val="cs-CZ"/>
        </w:rPr>
        <w:t>v ČR;</w:t>
      </w:r>
      <w:r w:rsidR="005C7A09" w:rsidRPr="00284463">
        <w:rPr>
          <w:lang w:val="cs-CZ"/>
        </w:rPr>
        <w:t xml:space="preserve"> </w:t>
      </w:r>
      <w:r w:rsidRPr="00284463">
        <w:rPr>
          <w:lang w:val="cs-CZ"/>
        </w:rPr>
        <w:t>školení zahraničních lékařek a zdravotních sester v ČR; poskytování peněžních darů na projekty zaměřené na podporu zdraví žen</w:t>
      </w:r>
      <w:r w:rsidR="008E78B4" w:rsidRPr="00284463">
        <w:rPr>
          <w:lang w:val="cs-CZ"/>
        </w:rPr>
        <w:t>.</w:t>
      </w:r>
    </w:p>
    <w:p w14:paraId="02D401A7" w14:textId="5D4CB49C" w:rsidR="002036DB" w:rsidRPr="00284463" w:rsidRDefault="002036DB" w:rsidP="00A016C2">
      <w:pPr>
        <w:snapToGrid w:val="0"/>
        <w:spacing w:after="120" w:line="276" w:lineRule="auto"/>
        <w:jc w:val="both"/>
        <w:rPr>
          <w:bCs/>
          <w:lang w:val="cs-CZ"/>
        </w:rPr>
      </w:pPr>
    </w:p>
    <w:p w14:paraId="3B8CE6A1" w14:textId="77777777" w:rsidR="00E16D43" w:rsidRPr="00284463" w:rsidRDefault="00E16D43" w:rsidP="00E16D43">
      <w:pPr>
        <w:autoSpaceDE w:val="0"/>
        <w:autoSpaceDN w:val="0"/>
        <w:adjustRightInd w:val="0"/>
        <w:jc w:val="both"/>
        <w:rPr>
          <w:color w:val="000000"/>
          <w:lang w:val="cs-CZ"/>
        </w:rPr>
      </w:pPr>
      <w:r w:rsidRPr="00284463">
        <w:rPr>
          <w:color w:val="000000"/>
          <w:lang w:val="cs-CZ"/>
        </w:rPr>
        <w:t>Stálý zdravotní humanitární program MEDEVAC se zaměřuje na poskytování lékařské péče zranitelným skupinám obyvatelstva v regionech zasažených humanitární krizí či přírodní katastrofou nebo v místech, kde není dostupná specializovaná odborná péče. Léčba je poskytována zdarma a výhradně civilistům a civilistkám (převážně ženám, dětem a starším osobám), kteří se nacházejí ve vážném zdravotním stavu, nebo jim jejich zdravotní stav neumožňuje vést důstojný život. Program MEDEVAC se zaměřuje na pacienty a pacientky s takovým typem onemocnění, které si nežádá intenzívní léčbu v řádech několika let, ale jedná se o pacienty a pacientky, pro které léčení v ČR nebo operace v zahraničí znamená podstatnou změnu jejich zdravotního stavu (záchranu života anebo zásadní zvýšení kvality života).</w:t>
      </w:r>
    </w:p>
    <w:p w14:paraId="27789358" w14:textId="77777777" w:rsidR="00E16D43" w:rsidRPr="00284463" w:rsidRDefault="00E16D43" w:rsidP="00E16D43">
      <w:pPr>
        <w:autoSpaceDE w:val="0"/>
        <w:autoSpaceDN w:val="0"/>
        <w:adjustRightInd w:val="0"/>
        <w:jc w:val="both"/>
        <w:rPr>
          <w:color w:val="000000"/>
          <w:lang w:val="cs-CZ"/>
        </w:rPr>
      </w:pPr>
    </w:p>
    <w:p w14:paraId="57B95D2D" w14:textId="77777777" w:rsidR="00E16D43" w:rsidRPr="00284463" w:rsidRDefault="00E16D43" w:rsidP="00E16D43">
      <w:pPr>
        <w:autoSpaceDE w:val="0"/>
        <w:autoSpaceDN w:val="0"/>
        <w:adjustRightInd w:val="0"/>
        <w:jc w:val="both"/>
        <w:rPr>
          <w:color w:val="000000"/>
          <w:lang w:val="cs-CZ"/>
        </w:rPr>
      </w:pPr>
      <w:r w:rsidRPr="00284463">
        <w:rPr>
          <w:color w:val="000000"/>
          <w:lang w:val="cs-CZ"/>
        </w:rPr>
        <w:t>Program MEDEVAC se zaměřuje zejména na vysílání českých lékařských týmů do zahraničí, na školení zahraničního zdravotnického personálu (v partnerských zemích i v ČR), dále poskytuje peněžní dary do zahraničí na podporu a rozvoj zdravotnické infrastruktury a ojediněle zajišťuje zdravotně humanitární evakuace osob na léčení do ČR.</w:t>
      </w:r>
    </w:p>
    <w:p w14:paraId="7D3868C0" w14:textId="77777777" w:rsidR="00E16D43" w:rsidRPr="00284463" w:rsidRDefault="00E16D43" w:rsidP="00E16D43">
      <w:pPr>
        <w:autoSpaceDE w:val="0"/>
        <w:autoSpaceDN w:val="0"/>
        <w:adjustRightInd w:val="0"/>
        <w:jc w:val="both"/>
        <w:rPr>
          <w:color w:val="000000"/>
          <w:lang w:val="cs-CZ"/>
        </w:rPr>
      </w:pPr>
    </w:p>
    <w:p w14:paraId="7817930B" w14:textId="77777777" w:rsidR="00E16D43" w:rsidRPr="00284463" w:rsidRDefault="00E16D43" w:rsidP="00E16D43">
      <w:pPr>
        <w:autoSpaceDE w:val="0"/>
        <w:autoSpaceDN w:val="0"/>
        <w:adjustRightInd w:val="0"/>
        <w:jc w:val="both"/>
        <w:rPr>
          <w:b/>
          <w:color w:val="000000"/>
          <w:lang w:val="cs-CZ"/>
        </w:rPr>
      </w:pPr>
      <w:r w:rsidRPr="00284463">
        <w:rPr>
          <w:b/>
          <w:color w:val="000000"/>
          <w:lang w:val="cs-CZ"/>
        </w:rPr>
        <w:t>Program MEDEVAC v roce 2020</w:t>
      </w:r>
    </w:p>
    <w:p w14:paraId="3B711298" w14:textId="77777777" w:rsidR="00E16D43" w:rsidRPr="00284463" w:rsidRDefault="00E16D43" w:rsidP="00E16D43">
      <w:pPr>
        <w:autoSpaceDE w:val="0"/>
        <w:autoSpaceDN w:val="0"/>
        <w:adjustRightInd w:val="0"/>
        <w:jc w:val="both"/>
        <w:rPr>
          <w:color w:val="000000"/>
          <w:lang w:val="cs-CZ"/>
        </w:rPr>
      </w:pPr>
      <w:r w:rsidRPr="00284463">
        <w:rPr>
          <w:color w:val="000000"/>
          <w:lang w:val="cs-CZ"/>
        </w:rPr>
        <w:t xml:space="preserve">V roce 2020 byla v rámci Stálého zdravotně humanitárního programu MEDEVAC realizována řada aktivit. Byly vyslány celkem </w:t>
      </w:r>
      <w:r w:rsidRPr="00284463">
        <w:rPr>
          <w:b/>
          <w:color w:val="000000"/>
          <w:lang w:val="cs-CZ"/>
        </w:rPr>
        <w:t>3 lékařské týmy</w:t>
      </w:r>
      <w:r w:rsidRPr="00284463">
        <w:rPr>
          <w:color w:val="000000"/>
          <w:lang w:val="cs-CZ"/>
        </w:rPr>
        <w:t xml:space="preserve"> do Jordánska a Senegalu se specializací na oblast oftalmologie, ortopedie a traumatologie pocházejících z 3 českých partnerských nemocnic: Fakultní nemocnice Hradec Králové, Fakultní nemocnice Olomouc a Nemocnice Na Bulovce. V průběhu těchto zdravotnických misí bylo uskutečněno </w:t>
      </w:r>
      <w:r w:rsidRPr="00284463">
        <w:rPr>
          <w:b/>
          <w:color w:val="000000"/>
          <w:lang w:val="cs-CZ"/>
        </w:rPr>
        <w:t>257 operačních výkonů</w:t>
      </w:r>
      <w:r w:rsidRPr="00284463">
        <w:rPr>
          <w:color w:val="000000"/>
          <w:lang w:val="cs-CZ"/>
        </w:rPr>
        <w:t xml:space="preserve"> (140 mužů, 117 žen – z toho 17 dětí) a přes </w:t>
      </w:r>
      <w:r w:rsidRPr="00284463">
        <w:rPr>
          <w:b/>
          <w:color w:val="000000"/>
          <w:lang w:val="cs-CZ"/>
        </w:rPr>
        <w:t>300 odborných vyšetření s diagnostikou</w:t>
      </w:r>
      <w:r w:rsidRPr="00284463">
        <w:rPr>
          <w:color w:val="000000"/>
          <w:lang w:val="cs-CZ"/>
        </w:rPr>
        <w:t xml:space="preserve">. </w:t>
      </w:r>
    </w:p>
    <w:p w14:paraId="7BE325F6" w14:textId="77777777" w:rsidR="00E16D43" w:rsidRPr="00284463" w:rsidRDefault="00E16D43" w:rsidP="00E16D43">
      <w:pPr>
        <w:autoSpaceDE w:val="0"/>
        <w:autoSpaceDN w:val="0"/>
        <w:adjustRightInd w:val="0"/>
        <w:jc w:val="both"/>
        <w:rPr>
          <w:color w:val="000000"/>
          <w:lang w:val="cs-CZ"/>
        </w:rPr>
      </w:pPr>
    </w:p>
    <w:p w14:paraId="543438EA" w14:textId="77777777" w:rsidR="00E16D43" w:rsidRPr="00284463" w:rsidRDefault="00E16D43" w:rsidP="00E16D43">
      <w:pPr>
        <w:autoSpaceDE w:val="0"/>
        <w:autoSpaceDN w:val="0"/>
        <w:adjustRightInd w:val="0"/>
        <w:jc w:val="both"/>
        <w:rPr>
          <w:color w:val="000000"/>
          <w:lang w:val="cs-CZ"/>
        </w:rPr>
      </w:pPr>
      <w:r w:rsidRPr="00284463">
        <w:rPr>
          <w:color w:val="000000"/>
          <w:lang w:val="cs-CZ"/>
        </w:rPr>
        <w:t xml:space="preserve">Dále byla uskutečněna </w:t>
      </w:r>
      <w:r w:rsidRPr="00284463">
        <w:rPr>
          <w:b/>
          <w:color w:val="000000"/>
          <w:lang w:val="cs-CZ"/>
        </w:rPr>
        <w:t>evakuace 60 pacientům a pacientek</w:t>
      </w:r>
      <w:r w:rsidRPr="00284463">
        <w:rPr>
          <w:color w:val="000000"/>
          <w:lang w:val="cs-CZ"/>
        </w:rPr>
        <w:t xml:space="preserve"> a jejich rodinných příslušníků a příslušnic z Běloruska na léčení do ČR (35 mužů, 25 žen – z toho 12 dětí). Jednalo se o pomoc osobám, které byly vystaveny nepřiměřenému násilí při účasti na protivládních protestech v zemi a které v této souvislosti potřebovaly akutní zdravotní, rehabilitační či psychologickou péči. </w:t>
      </w:r>
    </w:p>
    <w:p w14:paraId="72784E3C" w14:textId="77777777" w:rsidR="00E16D43" w:rsidRPr="00284463" w:rsidRDefault="00E16D43" w:rsidP="00E16D43">
      <w:pPr>
        <w:autoSpaceDE w:val="0"/>
        <w:autoSpaceDN w:val="0"/>
        <w:adjustRightInd w:val="0"/>
        <w:jc w:val="both"/>
        <w:rPr>
          <w:color w:val="000000"/>
          <w:lang w:val="cs-CZ"/>
        </w:rPr>
      </w:pPr>
    </w:p>
    <w:p w14:paraId="0C5E3CDA" w14:textId="77777777" w:rsidR="00E16D43" w:rsidRPr="00284463" w:rsidRDefault="00E16D43" w:rsidP="00E16D43">
      <w:pPr>
        <w:autoSpaceDE w:val="0"/>
        <w:autoSpaceDN w:val="0"/>
        <w:adjustRightInd w:val="0"/>
        <w:jc w:val="both"/>
        <w:rPr>
          <w:color w:val="000000"/>
          <w:lang w:val="cs-CZ"/>
        </w:rPr>
      </w:pPr>
      <w:r w:rsidRPr="00284463">
        <w:rPr>
          <w:color w:val="000000"/>
          <w:lang w:val="cs-CZ"/>
        </w:rPr>
        <w:t xml:space="preserve">Čeští lékaři také poskytli bezplatně zdravotníkům a zdravotnicím z Ghany, Iráku, Maroka, Mauritánie a Ukrajiny </w:t>
      </w:r>
      <w:r w:rsidRPr="00284463">
        <w:rPr>
          <w:b/>
          <w:color w:val="000000"/>
          <w:lang w:val="cs-CZ"/>
        </w:rPr>
        <w:t>5 on-line školení</w:t>
      </w:r>
      <w:r w:rsidRPr="00284463">
        <w:rPr>
          <w:color w:val="000000"/>
          <w:lang w:val="cs-CZ"/>
        </w:rPr>
        <w:t xml:space="preserve"> zaměřených na nemocniční epidemiologii v souvislosti s nemocí Covid-19. Školení se zúčastnilo celkem 74 tamějších zdravotníků a zdravotnic. V rámci programu MEDEVAC byly dále podpořeny tři zdravotnické projekty zaměřené na renovaci zdravotnických center, poskytnutí přístrojového vybavení nemocnic a školení zdravotnického personálu v Libanonu, v Mali a na Ukrajině v celkové výši 15 mil. Kč. </w:t>
      </w:r>
    </w:p>
    <w:p w14:paraId="16511DC9" w14:textId="77777777" w:rsidR="00E16D43" w:rsidRPr="00284463" w:rsidRDefault="00E16D43" w:rsidP="00E16D43">
      <w:pPr>
        <w:autoSpaceDE w:val="0"/>
        <w:autoSpaceDN w:val="0"/>
        <w:adjustRightInd w:val="0"/>
        <w:jc w:val="both"/>
        <w:rPr>
          <w:color w:val="000000"/>
          <w:lang w:val="cs-CZ"/>
        </w:rPr>
      </w:pPr>
    </w:p>
    <w:p w14:paraId="62B9ADCB" w14:textId="4120B13D" w:rsidR="00E16D43" w:rsidRPr="00284463" w:rsidRDefault="00E16D43" w:rsidP="00506815">
      <w:pPr>
        <w:snapToGrid w:val="0"/>
        <w:spacing w:after="120"/>
        <w:jc w:val="both"/>
        <w:rPr>
          <w:color w:val="000000"/>
          <w:lang w:val="cs-CZ"/>
        </w:rPr>
      </w:pPr>
      <w:r w:rsidRPr="00284463">
        <w:rPr>
          <w:color w:val="000000"/>
          <w:lang w:val="cs-CZ"/>
        </w:rPr>
        <w:t>V neposlední řadě byly ve spolupráci s Všeobecnou fakultní nemocnicí v Praze, Hasičským záchranným sborem ČR a Ministerstvem Obrany poskytnuty dva materiální dary v celkové výši cca 6,5 mil. Kč Libanonu a Řecku.</w:t>
      </w:r>
    </w:p>
    <w:p w14:paraId="1E3C3E6A" w14:textId="77777777" w:rsidR="00E16D43" w:rsidRPr="00284463" w:rsidRDefault="00E16D43" w:rsidP="00E16D43">
      <w:pPr>
        <w:snapToGrid w:val="0"/>
        <w:spacing w:after="120" w:line="276" w:lineRule="auto"/>
        <w:jc w:val="both"/>
        <w:rPr>
          <w:bCs/>
          <w:lang w:val="cs-CZ"/>
        </w:rPr>
      </w:pPr>
    </w:p>
    <w:p w14:paraId="5C351C26" w14:textId="3DA5A322" w:rsidR="00052CA2" w:rsidRPr="00284463" w:rsidRDefault="00052CA2" w:rsidP="00F004BA">
      <w:pPr>
        <w:pStyle w:val="Nadpis1"/>
        <w:pageBreakBefore/>
        <w:numPr>
          <w:ilvl w:val="0"/>
          <w:numId w:val="9"/>
        </w:numPr>
        <w:pBdr>
          <w:top w:val="single" w:sz="4" w:space="1" w:color="4F81BD"/>
          <w:left w:val="single" w:sz="4" w:space="4" w:color="4F81BD"/>
          <w:bottom w:val="single" w:sz="4" w:space="1" w:color="4F81BD"/>
          <w:right w:val="single" w:sz="4" w:space="4" w:color="4F81BD"/>
          <w:between w:val="single" w:sz="4" w:space="1" w:color="4F81BD"/>
          <w:bar w:val="single" w:sz="4" w:color="4F81BD"/>
        </w:pBdr>
        <w:ind w:left="357" w:hanging="357"/>
        <w:rPr>
          <w:rFonts w:ascii="Times New Roman" w:hAnsi="Times New Roman"/>
          <w:color w:val="2F5496" w:themeColor="accent1" w:themeShade="BF"/>
          <w:sz w:val="28"/>
          <w:szCs w:val="28"/>
          <w:lang w:val="cs-CZ"/>
        </w:rPr>
      </w:pPr>
      <w:bookmarkStart w:id="32" w:name="_Toc469998695"/>
      <w:bookmarkStart w:id="33" w:name="_Toc8495770"/>
      <w:bookmarkStart w:id="34" w:name="_Toc39673346"/>
      <w:r w:rsidRPr="00284463">
        <w:rPr>
          <w:rFonts w:ascii="Times New Roman" w:hAnsi="Times New Roman"/>
          <w:color w:val="2F5496" w:themeColor="accent1" w:themeShade="BF"/>
          <w:sz w:val="28"/>
          <w:szCs w:val="28"/>
          <w:lang w:val="cs-CZ"/>
        </w:rPr>
        <w:lastRenderedPageBreak/>
        <w:t>Důstojnost a integrita žen ve vztahu k problematice WPS</w:t>
      </w:r>
      <w:bookmarkEnd w:id="32"/>
      <w:bookmarkEnd w:id="33"/>
      <w:bookmarkEnd w:id="34"/>
      <w:r w:rsidRPr="00284463">
        <w:rPr>
          <w:rFonts w:ascii="Times New Roman" w:hAnsi="Times New Roman"/>
          <w:color w:val="2F5496" w:themeColor="accent1" w:themeShade="BF"/>
          <w:sz w:val="28"/>
          <w:szCs w:val="28"/>
          <w:lang w:val="cs-CZ"/>
        </w:rPr>
        <w:t xml:space="preserve"> </w:t>
      </w:r>
    </w:p>
    <w:p w14:paraId="7C85CFFE" w14:textId="77777777" w:rsidR="005C7A09" w:rsidRPr="00284463" w:rsidRDefault="005C7A09" w:rsidP="007554FF">
      <w:pPr>
        <w:snapToGrid w:val="0"/>
        <w:spacing w:after="120" w:line="276" w:lineRule="auto"/>
        <w:jc w:val="center"/>
        <w:rPr>
          <w:b/>
          <w:lang w:val="cs-CZ"/>
        </w:rPr>
      </w:pPr>
    </w:p>
    <w:p w14:paraId="34893C95" w14:textId="77777777" w:rsidR="00052CA2" w:rsidRPr="00284463" w:rsidRDefault="005C7A09" w:rsidP="005B4495">
      <w:pPr>
        <w:pStyle w:val="Nadpis2"/>
        <w:pBdr>
          <w:bottom w:val="single" w:sz="4" w:space="1" w:color="4F81BD"/>
        </w:pBdr>
        <w:rPr>
          <w:rFonts w:ascii="Times New Roman" w:hAnsi="Times New Roman"/>
          <w:i w:val="0"/>
          <w:color w:val="2F5496" w:themeColor="accent1" w:themeShade="BF"/>
          <w:lang w:val="cs-CZ"/>
        </w:rPr>
      </w:pPr>
      <w:bookmarkStart w:id="35" w:name="_Toc39673347"/>
      <w:r w:rsidRPr="00284463">
        <w:rPr>
          <w:rFonts w:ascii="Times New Roman" w:hAnsi="Times New Roman"/>
          <w:i w:val="0"/>
          <w:color w:val="2F5496" w:themeColor="accent1" w:themeShade="BF"/>
          <w:lang w:val="cs-CZ"/>
        </w:rPr>
        <w:t>Úkol č. 18</w:t>
      </w:r>
      <w:bookmarkEnd w:id="35"/>
    </w:p>
    <w:p w14:paraId="0FE5FCF8" w14:textId="77777777" w:rsidR="00812A8F" w:rsidRPr="00284463" w:rsidRDefault="00812A8F" w:rsidP="007554FF">
      <w:pPr>
        <w:snapToGrid w:val="0"/>
        <w:spacing w:after="120" w:line="276" w:lineRule="auto"/>
        <w:jc w:val="both"/>
        <w:rPr>
          <w:b/>
          <w:bCs/>
          <w:iCs/>
          <w:lang w:val="cs-CZ"/>
        </w:rPr>
      </w:pPr>
      <w:r w:rsidRPr="00284463">
        <w:rPr>
          <w:b/>
          <w:bCs/>
          <w:iCs/>
          <w:lang w:val="cs-CZ"/>
        </w:rPr>
        <w:t>Obecný cíl: Podílet se na potírání sexuálního násilí, znásilnění a dalších forem genderově podmíněného násilí a obchodování s lidmi ve všech jeho formách; ostře se vyhrazovat proti užívání genderově podmíněného násilí jako taktiky boje; vyvíjet tlak na důsledné vyšetření skutků a odsouzení pachatelů; prosazovat důsledně potírání všech forem beztrestnosti pachatelů genderově podmíněného násilí (MZV)</w:t>
      </w:r>
    </w:p>
    <w:p w14:paraId="05266B99" w14:textId="77777777" w:rsidR="00665146" w:rsidRPr="00284463" w:rsidRDefault="00665146" w:rsidP="007554FF">
      <w:pPr>
        <w:snapToGrid w:val="0"/>
        <w:spacing w:after="120" w:line="276" w:lineRule="auto"/>
        <w:jc w:val="both"/>
        <w:rPr>
          <w:lang w:val="cs-CZ"/>
        </w:rPr>
      </w:pPr>
      <w:r w:rsidRPr="00284463">
        <w:rPr>
          <w:lang w:val="cs-CZ"/>
        </w:rPr>
        <w:t>Úkoly:</w:t>
      </w:r>
    </w:p>
    <w:p w14:paraId="2DFA7438" w14:textId="77777777" w:rsidR="00812A8F" w:rsidRPr="00284463" w:rsidRDefault="00812A8F" w:rsidP="007554FF">
      <w:pPr>
        <w:numPr>
          <w:ilvl w:val="0"/>
          <w:numId w:val="6"/>
        </w:numPr>
        <w:snapToGrid w:val="0"/>
        <w:spacing w:after="120" w:line="276" w:lineRule="auto"/>
        <w:jc w:val="both"/>
        <w:rPr>
          <w:lang w:val="cs-CZ"/>
        </w:rPr>
      </w:pPr>
      <w:r w:rsidRPr="00284463">
        <w:rPr>
          <w:iCs/>
          <w:lang w:val="cs-CZ"/>
        </w:rPr>
        <w:t xml:space="preserve">V bilaterálních stycích a na půdě mezinárodních organizací nadále podporovat naplňování ustanovení Úmluvy o odstranění všech forem diskriminace žen týkající se ochrany práv žen a ochrany žen před genderově podmíněným násilím, sexuálním vykořisťováním a obchodováním, ochrany vysídlených žen a zajišťování přístupu ke spravedlnosti; </w:t>
      </w:r>
    </w:p>
    <w:p w14:paraId="7C49658D" w14:textId="77777777" w:rsidR="00812A8F" w:rsidRPr="00284463" w:rsidRDefault="008E78B4" w:rsidP="007554FF">
      <w:pPr>
        <w:numPr>
          <w:ilvl w:val="0"/>
          <w:numId w:val="6"/>
        </w:numPr>
        <w:snapToGrid w:val="0"/>
        <w:spacing w:after="120" w:line="276" w:lineRule="auto"/>
        <w:jc w:val="both"/>
        <w:rPr>
          <w:lang w:val="cs-CZ"/>
        </w:rPr>
      </w:pPr>
      <w:r w:rsidRPr="00284463">
        <w:rPr>
          <w:iCs/>
          <w:lang w:val="cs-CZ"/>
        </w:rPr>
        <w:t>V</w:t>
      </w:r>
      <w:r w:rsidR="00812A8F" w:rsidRPr="00284463">
        <w:rPr>
          <w:iCs/>
          <w:lang w:val="cs-CZ"/>
        </w:rPr>
        <w:t xml:space="preserve"> rámci Univerzálního periodického přezkumu uplatňovat doporučení vyzývající státy k zajištění ochrany práv žen a ochrany žen před genderově podmíněným násilím, sexuálním vykořisťováním a obchodováním, ochrany vysídlených žen a zajišťování přístupu ke spravedlnosti; </w:t>
      </w:r>
    </w:p>
    <w:p w14:paraId="26C9D0EE" w14:textId="77777777" w:rsidR="00812A8F" w:rsidRPr="00284463" w:rsidRDefault="008E78B4" w:rsidP="007554FF">
      <w:pPr>
        <w:numPr>
          <w:ilvl w:val="0"/>
          <w:numId w:val="6"/>
        </w:numPr>
        <w:snapToGrid w:val="0"/>
        <w:spacing w:after="120" w:line="276" w:lineRule="auto"/>
        <w:jc w:val="both"/>
        <w:rPr>
          <w:lang w:val="cs-CZ"/>
        </w:rPr>
      </w:pPr>
      <w:r w:rsidRPr="00284463">
        <w:rPr>
          <w:iCs/>
          <w:lang w:val="cs-CZ"/>
        </w:rPr>
        <w:t>P</w:t>
      </w:r>
      <w:r w:rsidR="00812A8F" w:rsidRPr="00284463">
        <w:rPr>
          <w:iCs/>
          <w:lang w:val="cs-CZ"/>
        </w:rPr>
        <w:t xml:space="preserve">odpora činnosti Mezinárodního trestního soudu a nestálých soudních tribunálů. </w:t>
      </w:r>
    </w:p>
    <w:p w14:paraId="2760F3EF" w14:textId="77777777" w:rsidR="00665146" w:rsidRPr="00284463" w:rsidRDefault="00665146" w:rsidP="002974EB">
      <w:pPr>
        <w:snapToGrid w:val="0"/>
        <w:spacing w:line="276" w:lineRule="auto"/>
        <w:ind w:left="720"/>
        <w:jc w:val="both"/>
        <w:rPr>
          <w:lang w:val="cs-CZ"/>
        </w:rPr>
      </w:pPr>
    </w:p>
    <w:p w14:paraId="3FD20F41" w14:textId="77777777" w:rsidR="00E16D43" w:rsidRPr="00284463" w:rsidRDefault="00E16D43" w:rsidP="002974EB">
      <w:pPr>
        <w:snapToGrid w:val="0"/>
        <w:jc w:val="both"/>
        <w:rPr>
          <w:lang w:val="cs-CZ"/>
        </w:rPr>
      </w:pPr>
      <w:r w:rsidRPr="00284463">
        <w:rPr>
          <w:lang w:val="cs-CZ"/>
        </w:rPr>
        <w:t xml:space="preserve">V rámci vyjednávaní rezolucí a společných prohlášení na třech řádných zasedáních </w:t>
      </w:r>
      <w:r w:rsidRPr="00284463">
        <w:rPr>
          <w:b/>
          <w:lang w:val="cs-CZ"/>
        </w:rPr>
        <w:t xml:space="preserve">Rady OSN pro lidská práva </w:t>
      </w:r>
      <w:r w:rsidRPr="00284463">
        <w:rPr>
          <w:lang w:val="cs-CZ"/>
        </w:rPr>
        <w:t xml:space="preserve">v roce 2020, zejména na červnovém zasedání, ČR aktivně prosazovala ustanovení proti diskriminaci žen a násilí na ženách a dívkách a vystupovala proti nepřátelským dodatkům, které měly za cíl rezoluce oslabit (viz informace k plnění úkolu č. 13). Během </w:t>
      </w:r>
      <w:r w:rsidRPr="00284463">
        <w:rPr>
          <w:b/>
          <w:lang w:val="cs-CZ"/>
        </w:rPr>
        <w:t>Univerzálního periodického přezkumu</w:t>
      </w:r>
      <w:r w:rsidRPr="00284463">
        <w:rPr>
          <w:lang w:val="cs-CZ"/>
        </w:rPr>
        <w:t xml:space="preserve"> formulovala ČR několik doporučení zaměřených na genderově podmíněné násilí, domácí násilí či na odstranění diskriminace na základě sexuální orientace a genderové identity. Jednalo se o doporučení pro Laos, Keňu, Španělsko, Kyrgyzstán, Bulharsko, Mongolsko, Honduras, Libérii, Austrálii, Nepál a Libanon. </w:t>
      </w:r>
    </w:p>
    <w:p w14:paraId="7D919886" w14:textId="77777777" w:rsidR="00E166D3" w:rsidRPr="00284463" w:rsidRDefault="00E166D3" w:rsidP="002974EB">
      <w:pPr>
        <w:snapToGrid w:val="0"/>
        <w:jc w:val="both"/>
        <w:rPr>
          <w:lang w:val="cs-CZ" w:eastAsia="cs-CZ"/>
        </w:rPr>
      </w:pPr>
    </w:p>
    <w:p w14:paraId="35372E84" w14:textId="5D3E9F49" w:rsidR="00042241" w:rsidRPr="00284463" w:rsidRDefault="00E16D43" w:rsidP="00506815">
      <w:pPr>
        <w:snapToGrid w:val="0"/>
        <w:spacing w:after="120"/>
        <w:jc w:val="both"/>
        <w:rPr>
          <w:lang w:val="cs-CZ"/>
        </w:rPr>
      </w:pPr>
      <w:r w:rsidRPr="00284463">
        <w:rPr>
          <w:lang w:val="cs-CZ" w:eastAsia="cs-CZ"/>
        </w:rPr>
        <w:t>Podpora mezinárodního trestního soudnictví, především Mezinárodního trestního soudu, je obsažena v příslušné části Koncepce zahraniční politiky ČR (viz poslední odstavec bodu 4.3 „Lidská důstojnost a lidská práva“), která je konzistentně naplňována.</w:t>
      </w:r>
      <w:r w:rsidR="00042241" w:rsidRPr="00284463">
        <w:rPr>
          <w:lang w:val="cs-CZ"/>
        </w:rPr>
        <w:t xml:space="preserve"> Česká republika je smluvní stranou Římského statutu Mezinárodního trestního soudu. MZV podporuje formou dobrovolného finančního příspěvku Svěřenecký fond pro oběti Mezinárodního trestního soudu (v roce 2020 se jednalo o částku 600 000,- Kč), Mezinárodní nestranný a nezávislý mechanismus na pomoc vyšetřování a stíhání osob, které jsou odpovědné za nejzávažnější zločiny podle mezinárodního práva spáchané v Sýrii (v roce 2020 se jednalo o částku 1 000 000,- Kč) a Zvláštní tribunál pro </w:t>
      </w:r>
      <w:r w:rsidR="00284463" w:rsidRPr="00284463">
        <w:rPr>
          <w:lang w:val="cs-CZ"/>
        </w:rPr>
        <w:t>Libanon (v roce</w:t>
      </w:r>
      <w:r w:rsidR="00042241" w:rsidRPr="00284463">
        <w:rPr>
          <w:lang w:val="cs-CZ"/>
        </w:rPr>
        <w:t xml:space="preserve"> 2020 se jednalo o částku 350 000,- Kč).</w:t>
      </w:r>
    </w:p>
    <w:p w14:paraId="21004C55" w14:textId="77777777" w:rsidR="00042241" w:rsidRPr="00284463" w:rsidRDefault="00042241" w:rsidP="00506815">
      <w:pPr>
        <w:snapToGrid w:val="0"/>
        <w:spacing w:after="120"/>
        <w:jc w:val="both"/>
        <w:rPr>
          <w:lang w:val="cs-CZ"/>
        </w:rPr>
      </w:pPr>
      <w:r w:rsidRPr="00284463">
        <w:rPr>
          <w:lang w:val="cs-CZ"/>
        </w:rPr>
        <w:t>Soudce Mezinárodního trestního soudu, JUDr. Robert Fremr, byl v březnu 2018 jmenován jeho prvním místopředsedou. Soudkyně JUDr. Ivana Hrdličková i nadále zastávala post předsedkyně Zvláštního tribunálu pro Libanon.“</w:t>
      </w:r>
    </w:p>
    <w:p w14:paraId="78A008BA" w14:textId="20033630" w:rsidR="00E16D43" w:rsidRPr="00284463" w:rsidRDefault="00E16D43" w:rsidP="002974EB">
      <w:pPr>
        <w:snapToGrid w:val="0"/>
        <w:jc w:val="both"/>
        <w:rPr>
          <w:lang w:val="cs-CZ"/>
        </w:rPr>
      </w:pPr>
      <w:r w:rsidRPr="00284463">
        <w:rPr>
          <w:lang w:val="cs-CZ" w:eastAsia="cs-CZ"/>
        </w:rPr>
        <w:lastRenderedPageBreak/>
        <w:t xml:space="preserve"> </w:t>
      </w:r>
    </w:p>
    <w:p w14:paraId="399E7182" w14:textId="4DEA13FF" w:rsidR="00665146" w:rsidRPr="00284463" w:rsidRDefault="00665146" w:rsidP="007554FF">
      <w:pPr>
        <w:snapToGrid w:val="0"/>
        <w:spacing w:after="120" w:line="276" w:lineRule="auto"/>
        <w:rPr>
          <w:b/>
          <w:lang w:val="cs-CZ"/>
        </w:rPr>
      </w:pPr>
    </w:p>
    <w:p w14:paraId="0E756D29" w14:textId="77777777" w:rsidR="00665146" w:rsidRPr="00284463" w:rsidRDefault="00665146" w:rsidP="005B4495">
      <w:pPr>
        <w:pStyle w:val="Nadpis2"/>
        <w:pBdr>
          <w:bottom w:val="single" w:sz="4" w:space="1" w:color="4F81BD"/>
        </w:pBdr>
        <w:rPr>
          <w:rFonts w:ascii="Times New Roman" w:hAnsi="Times New Roman"/>
          <w:i w:val="0"/>
          <w:color w:val="2F5496" w:themeColor="accent1" w:themeShade="BF"/>
          <w:lang w:val="cs-CZ"/>
        </w:rPr>
      </w:pPr>
      <w:bookmarkStart w:id="36" w:name="_Toc39673348"/>
      <w:r w:rsidRPr="00284463">
        <w:rPr>
          <w:rFonts w:ascii="Times New Roman" w:hAnsi="Times New Roman"/>
          <w:i w:val="0"/>
          <w:color w:val="2F5496" w:themeColor="accent1" w:themeShade="BF"/>
          <w:lang w:val="cs-CZ"/>
        </w:rPr>
        <w:t>Úkol č. 19</w:t>
      </w:r>
      <w:bookmarkEnd w:id="36"/>
    </w:p>
    <w:p w14:paraId="49E964B5" w14:textId="77777777" w:rsidR="00052CA2" w:rsidRPr="00284463" w:rsidRDefault="00665146" w:rsidP="002974EB">
      <w:pPr>
        <w:snapToGrid w:val="0"/>
        <w:spacing w:line="276" w:lineRule="auto"/>
        <w:jc w:val="both"/>
        <w:rPr>
          <w:b/>
          <w:lang w:val="cs-CZ"/>
        </w:rPr>
      </w:pPr>
      <w:r w:rsidRPr="00284463">
        <w:rPr>
          <w:b/>
          <w:lang w:val="cs-CZ"/>
        </w:rPr>
        <w:t>Obecný cíl: Bojovat s bagatelizací všech forem genderově podmíněného násilí jak uvnitř zahraniční vojenské či civilní mise, tak navenek vůči místnímu obyvatelstvu. Potírat beztrestnost takovéhoto jednání a důsledně vyšetřovat a stíhat pachatele a pachatelky těchto trestných činů</w:t>
      </w:r>
    </w:p>
    <w:p w14:paraId="19C9510B" w14:textId="77777777" w:rsidR="00665146" w:rsidRPr="00284463" w:rsidRDefault="00665146" w:rsidP="002974EB">
      <w:pPr>
        <w:snapToGrid w:val="0"/>
        <w:spacing w:line="276" w:lineRule="auto"/>
        <w:jc w:val="both"/>
        <w:rPr>
          <w:lang w:val="cs-CZ"/>
        </w:rPr>
      </w:pPr>
      <w:r w:rsidRPr="00284463">
        <w:rPr>
          <w:lang w:val="cs-CZ"/>
        </w:rPr>
        <w:t>Úkoly:</w:t>
      </w:r>
    </w:p>
    <w:p w14:paraId="5B36CBF1" w14:textId="77777777" w:rsidR="00665146" w:rsidRPr="00284463" w:rsidRDefault="00665146" w:rsidP="002974EB">
      <w:pPr>
        <w:numPr>
          <w:ilvl w:val="0"/>
          <w:numId w:val="6"/>
        </w:numPr>
        <w:snapToGrid w:val="0"/>
        <w:spacing w:line="276" w:lineRule="auto"/>
        <w:jc w:val="both"/>
        <w:rPr>
          <w:lang w:val="cs-CZ"/>
        </w:rPr>
      </w:pPr>
      <w:r w:rsidRPr="00284463">
        <w:rPr>
          <w:lang w:val="cs-CZ"/>
        </w:rPr>
        <w:t>V rámci výcvikových programů proškolit příslušníky zahraničních civilních a vojenských misí o postupech v případě zjištění případů sexuálního obtěžování či jiného genderově podmíněného násilí</w:t>
      </w:r>
      <w:r w:rsidR="008E78B4" w:rsidRPr="00284463">
        <w:rPr>
          <w:lang w:val="cs-CZ"/>
        </w:rPr>
        <w:t>;</w:t>
      </w:r>
    </w:p>
    <w:p w14:paraId="603AB830" w14:textId="77777777" w:rsidR="00665146" w:rsidRPr="00284463" w:rsidRDefault="00665146" w:rsidP="002974EB">
      <w:pPr>
        <w:numPr>
          <w:ilvl w:val="0"/>
          <w:numId w:val="6"/>
        </w:numPr>
        <w:snapToGrid w:val="0"/>
        <w:spacing w:line="276" w:lineRule="auto"/>
        <w:jc w:val="both"/>
        <w:rPr>
          <w:lang w:val="cs-CZ"/>
        </w:rPr>
      </w:pPr>
      <w:r w:rsidRPr="00284463">
        <w:rPr>
          <w:lang w:val="cs-CZ"/>
        </w:rPr>
        <w:t>Zajistit odbornou právní a psychologickou asistenci obětem generově podmíněného násilí uvnitř zahraniční vojenské či civilní mise</w:t>
      </w:r>
      <w:r w:rsidR="008E78B4" w:rsidRPr="00284463">
        <w:rPr>
          <w:lang w:val="cs-CZ"/>
        </w:rPr>
        <w:t>;</w:t>
      </w:r>
    </w:p>
    <w:p w14:paraId="47B8E8E5" w14:textId="499D819D" w:rsidR="00665146" w:rsidRPr="00284463" w:rsidRDefault="00665146" w:rsidP="002974EB">
      <w:pPr>
        <w:numPr>
          <w:ilvl w:val="0"/>
          <w:numId w:val="6"/>
        </w:numPr>
        <w:snapToGrid w:val="0"/>
        <w:spacing w:line="276" w:lineRule="auto"/>
        <w:jc w:val="both"/>
        <w:rPr>
          <w:lang w:val="cs-CZ"/>
        </w:rPr>
      </w:pPr>
      <w:r w:rsidRPr="00284463">
        <w:rPr>
          <w:lang w:val="cs-CZ"/>
        </w:rPr>
        <w:t>Účinně stíhat pachatele a pachatelky gen</w:t>
      </w:r>
      <w:r w:rsidR="00A016C2" w:rsidRPr="00284463">
        <w:rPr>
          <w:lang w:val="cs-CZ"/>
        </w:rPr>
        <w:t>d</w:t>
      </w:r>
      <w:r w:rsidRPr="00284463">
        <w:rPr>
          <w:lang w:val="cs-CZ"/>
        </w:rPr>
        <w:t>erově podmíněného násilí</w:t>
      </w:r>
      <w:r w:rsidR="008E78B4" w:rsidRPr="00284463">
        <w:rPr>
          <w:lang w:val="cs-CZ"/>
        </w:rPr>
        <w:t>.</w:t>
      </w:r>
    </w:p>
    <w:p w14:paraId="26AFFD15" w14:textId="7A748445" w:rsidR="002153F7" w:rsidRPr="00284463" w:rsidRDefault="002153F7" w:rsidP="002974EB">
      <w:pPr>
        <w:pStyle w:val="Zkladntextodsazen2"/>
        <w:spacing w:before="120" w:after="0" w:line="240" w:lineRule="auto"/>
        <w:ind w:left="0"/>
        <w:jc w:val="both"/>
        <w:rPr>
          <w:u w:val="single"/>
          <w:lang w:val="cs-CZ"/>
        </w:rPr>
      </w:pPr>
      <w:r w:rsidRPr="00284463">
        <w:rPr>
          <w:lang w:val="cs-CZ"/>
        </w:rPr>
        <w:t>Odbor operační psychologie Agentury vojenského zdravotnictví realizuje v rámci vzdělávacích aktivit (odborné přípravy) psychologickou přípravu s tématikou zahrnující celou oblast dodržování lidských práv</w:t>
      </w:r>
      <w:r w:rsidRPr="00284463">
        <w:rPr>
          <w:rStyle w:val="Znakapoznpodarou"/>
          <w:lang w:val="cs-CZ"/>
        </w:rPr>
        <w:footnoteReference w:customMarkFollows="1" w:id="7"/>
        <w:t>[1]</w:t>
      </w:r>
      <w:r w:rsidRPr="00284463">
        <w:rPr>
          <w:lang w:val="cs-CZ"/>
        </w:rPr>
        <w:t xml:space="preserve">, možnosti jejich prevence a ochrany. Seznámení s vojenskou  legislativou, která vymezuje tuto problematiku, je součástí odborné přípravy realizované příslušníky právní služby. Oblast </w:t>
      </w:r>
      <w:r w:rsidRPr="00284463">
        <w:rPr>
          <w:i/>
          <w:u w:val="single"/>
          <w:lang w:val="cs-CZ"/>
        </w:rPr>
        <w:t>ochrany a dodržování lidských práv je zařazena v „psychologické přípravě do zahraničních operací“</w:t>
      </w:r>
      <w:r w:rsidRPr="00284463">
        <w:rPr>
          <w:u w:val="single"/>
          <w:lang w:val="cs-CZ"/>
        </w:rPr>
        <w:t>,</w:t>
      </w:r>
      <w:r w:rsidRPr="00284463">
        <w:rPr>
          <w:lang w:val="cs-CZ"/>
        </w:rPr>
        <w:t xml:space="preserve"> pro rodinné příslušníky pak formou informačního servisu, případně organizovaného setkání. Odbor operační psychologie zabezpečuje doprovázení a  podporu  rodin při mimořádných událostech. </w:t>
      </w:r>
      <w:r w:rsidRPr="00284463">
        <w:rPr>
          <w:i/>
          <w:lang w:val="cs-CZ"/>
        </w:rPr>
        <w:t>Vojenský psycholog je zařazen do struktury jednotky a vyjíždí do zahraniční operace</w:t>
      </w:r>
      <w:r w:rsidRPr="00284463">
        <w:rPr>
          <w:lang w:val="cs-CZ"/>
        </w:rPr>
        <w:t xml:space="preserve">. Informační a poradenský psychologický servis je poskytován profesionálním vojákům, občanským zaměstnancům a rodinným příslušníkům a válečným veteránům. V hodnoceném období byla pro personál MO navíc zřízena </w:t>
      </w:r>
      <w:r w:rsidRPr="00284463">
        <w:rPr>
          <w:i/>
          <w:u w:val="single"/>
          <w:lang w:val="cs-CZ"/>
        </w:rPr>
        <w:t xml:space="preserve">„Vojenská linka psychologické pomoci“. </w:t>
      </w:r>
    </w:p>
    <w:p w14:paraId="488CDF8D" w14:textId="392E6BB3" w:rsidR="002153F7" w:rsidRPr="00284463" w:rsidRDefault="002153F7" w:rsidP="002153F7">
      <w:pPr>
        <w:pStyle w:val="Zkladntextodsazen2"/>
        <w:spacing w:before="120" w:after="0" w:line="240" w:lineRule="auto"/>
        <w:ind w:left="0"/>
        <w:jc w:val="both"/>
        <w:rPr>
          <w:lang w:val="cs-CZ"/>
        </w:rPr>
      </w:pPr>
      <w:r w:rsidRPr="00284463">
        <w:rPr>
          <w:lang w:val="cs-CZ"/>
        </w:rPr>
        <w:t>Obecně je odborná příprava zaměřena primárně na prevenci této problematiky.</w:t>
      </w:r>
      <w:r w:rsidRPr="00284463">
        <w:rPr>
          <w:b/>
          <w:bCs/>
          <w:lang w:val="cs-CZ"/>
        </w:rPr>
        <w:t xml:space="preserve"> </w:t>
      </w:r>
      <w:r w:rsidRPr="00284463">
        <w:rPr>
          <w:bCs/>
          <w:lang w:val="cs-CZ"/>
        </w:rPr>
        <w:t>Prevenci řeší právníci, psychologové a personalisté.</w:t>
      </w:r>
      <w:r w:rsidRPr="00284463">
        <w:rPr>
          <w:b/>
          <w:bCs/>
          <w:lang w:val="cs-CZ"/>
        </w:rPr>
        <w:t xml:space="preserve"> </w:t>
      </w:r>
      <w:r w:rsidRPr="00284463">
        <w:rPr>
          <w:lang w:val="cs-CZ"/>
        </w:rPr>
        <w:t xml:space="preserve">Genderově podmíněné násilí nebylo řešeno, sexuální obtěžování také ne. Ani sekci dozoru a kontroly MO, v jejíž organizační struktuře je pozice hlavního inspektora ochrany lidských práv, nebyly žádné podněty/případy související se sexuálním obtěžováním/násilím podány. Ombudsman provozuje anonymní schránku </w:t>
      </w:r>
      <w:hyperlink r:id="rId25" w:history="1">
        <w:r w:rsidRPr="00284463">
          <w:rPr>
            <w:rStyle w:val="Hypertextovodkaz"/>
            <w:rFonts w:eastAsia="Malgun Gothic"/>
            <w:i/>
            <w:lang w:val="cs-CZ"/>
          </w:rPr>
          <w:t>ombudsman@army.cz</w:t>
        </w:r>
      </w:hyperlink>
      <w:r w:rsidRPr="00284463">
        <w:rPr>
          <w:lang w:val="cs-CZ"/>
        </w:rPr>
        <w:t>, kam lze zaslat stížnosti týkající se genderově podmíněného násilí, případně požádat o konzultaci v konkrétní věci.</w:t>
      </w:r>
    </w:p>
    <w:p w14:paraId="5F6904A7" w14:textId="77777777" w:rsidR="002153F7" w:rsidRPr="00284463" w:rsidRDefault="002153F7" w:rsidP="002153F7">
      <w:pPr>
        <w:pStyle w:val="Zkladntextodsazen2"/>
        <w:spacing w:before="120" w:after="0" w:line="240" w:lineRule="auto"/>
        <w:ind w:left="0"/>
        <w:jc w:val="both"/>
        <w:rPr>
          <w:lang w:val="cs-CZ"/>
        </w:rPr>
      </w:pPr>
      <w:r w:rsidRPr="00284463">
        <w:rPr>
          <w:lang w:val="cs-CZ"/>
        </w:rPr>
        <w:t xml:space="preserve">Mimo tato opatření může vojenský i civilní personál rezortu MO, v případě nevhodného chování, využít „pomocníka“, služební pomůcku Rovné zacházení s muži a ženami, ve které je popsán postup při takovém chování, včetně kontaktů za účelem pomoci. </w:t>
      </w:r>
    </w:p>
    <w:p w14:paraId="5AE4721A" w14:textId="77777777" w:rsidR="002153F7" w:rsidRPr="00284463" w:rsidRDefault="002153F7" w:rsidP="002153F7">
      <w:pPr>
        <w:pStyle w:val="Zkladntextodsazen2"/>
        <w:spacing w:before="120" w:after="0" w:line="240" w:lineRule="auto"/>
        <w:ind w:left="0"/>
        <w:jc w:val="both"/>
        <w:rPr>
          <w:lang w:val="cs-CZ"/>
        </w:rPr>
      </w:pPr>
      <w:r w:rsidRPr="00284463">
        <w:rPr>
          <w:lang w:val="cs-CZ"/>
        </w:rPr>
        <w:t>Jako další pomocník pro vojenský personál byl v hodnoceném období zpracován a distribuován</w:t>
      </w:r>
      <w:r w:rsidRPr="00284463">
        <w:rPr>
          <w:i/>
          <w:lang w:val="cs-CZ"/>
        </w:rPr>
        <w:t xml:space="preserve"> </w:t>
      </w:r>
      <w:r w:rsidRPr="00284463">
        <w:rPr>
          <w:i/>
          <w:u w:val="single"/>
          <w:lang w:val="cs-CZ"/>
        </w:rPr>
        <w:t>bulletin „Žádnou šanci diskriminaci, šikaně, obtěžování“,</w:t>
      </w:r>
      <w:r w:rsidRPr="00284463">
        <w:rPr>
          <w:i/>
          <w:lang w:val="cs-CZ"/>
        </w:rPr>
        <w:t xml:space="preserve"> </w:t>
      </w:r>
      <w:r w:rsidRPr="00284463">
        <w:rPr>
          <w:lang w:val="cs-CZ"/>
        </w:rPr>
        <w:t xml:space="preserve">který za tímto účelem připravila Pracovní skupina k řešení problematiky rovnosti mužů a žen. </w:t>
      </w:r>
    </w:p>
    <w:p w14:paraId="6ADF1C56" w14:textId="212902DC" w:rsidR="002153F7" w:rsidRPr="00284463" w:rsidRDefault="002153F7" w:rsidP="002153F7">
      <w:pPr>
        <w:jc w:val="both"/>
        <w:rPr>
          <w:color w:val="000000"/>
          <w:lang w:val="cs-CZ"/>
        </w:rPr>
      </w:pPr>
      <w:r w:rsidRPr="00284463">
        <w:rPr>
          <w:color w:val="000000"/>
          <w:lang w:val="cs-CZ"/>
        </w:rPr>
        <w:t xml:space="preserve">Obdobně jako v předchozích letech tvoří problematika genderově podmíněného násilí nadále nedílnou součást </w:t>
      </w:r>
      <w:r w:rsidR="00284463" w:rsidRPr="00284463">
        <w:rPr>
          <w:color w:val="000000"/>
          <w:lang w:val="cs-CZ"/>
        </w:rPr>
        <w:t>před výjezdové</w:t>
      </w:r>
      <w:r w:rsidRPr="00284463">
        <w:rPr>
          <w:color w:val="000000"/>
          <w:lang w:val="cs-CZ"/>
        </w:rPr>
        <w:t xml:space="preserve"> přípravy každého policisty a každé policistky vstupující do zahraniční mírové operace. Náplň školení vychází z materiálu UNCPTM (United Nations Core Predeployment Training Material) a oficiálních materiálů k </w:t>
      </w:r>
      <w:r w:rsidR="00284463" w:rsidRPr="00284463">
        <w:rPr>
          <w:color w:val="000000"/>
          <w:lang w:val="cs-CZ"/>
        </w:rPr>
        <w:t>před výjezdovým</w:t>
      </w:r>
      <w:r w:rsidRPr="00284463">
        <w:rPr>
          <w:color w:val="000000"/>
          <w:lang w:val="cs-CZ"/>
        </w:rPr>
        <w:t xml:space="preserve"> tréningům </w:t>
      </w:r>
      <w:r w:rsidRPr="00284463">
        <w:rPr>
          <w:color w:val="000000"/>
          <w:lang w:val="cs-CZ"/>
        </w:rPr>
        <w:lastRenderedPageBreak/>
        <w:t xml:space="preserve">pro CSDP mise (zpracováno ESDC). Nadto další školení na problematiku genderových a kulturních aspektů probíhají pravidelně na úrovni misí z iniciativy vedení mise. </w:t>
      </w:r>
    </w:p>
    <w:p w14:paraId="7B5CEF62" w14:textId="77777777" w:rsidR="002153F7" w:rsidRPr="00284463" w:rsidRDefault="002153F7" w:rsidP="002153F7">
      <w:pPr>
        <w:jc w:val="both"/>
        <w:rPr>
          <w:color w:val="000000"/>
          <w:lang w:val="cs-CZ"/>
        </w:rPr>
      </w:pPr>
    </w:p>
    <w:p w14:paraId="0C4EEE08" w14:textId="0B55F321" w:rsidR="002153F7" w:rsidRPr="00284463" w:rsidRDefault="002153F7" w:rsidP="002153F7">
      <w:pPr>
        <w:jc w:val="both"/>
        <w:rPr>
          <w:color w:val="000000"/>
          <w:lang w:val="cs-CZ"/>
        </w:rPr>
      </w:pPr>
      <w:r w:rsidRPr="00284463">
        <w:rPr>
          <w:color w:val="000000"/>
          <w:lang w:val="cs-CZ"/>
        </w:rPr>
        <w:t>Pomoc psychologa/psycholožky pro vyslané policisty a policistky byla i v roce 2020 garantována čl. 22 pokynu policejního prezidenta 97/2018, kterým se upravuje vysílání příslušníků Policie České republiky do zahraničních mírových operací a kterým se mění pokyn policejního prezidenta č. 231/2016, o psychologických službách.</w:t>
      </w:r>
    </w:p>
    <w:p w14:paraId="70D48B4B" w14:textId="77777777" w:rsidR="002153F7" w:rsidRPr="00284463" w:rsidRDefault="002153F7" w:rsidP="002153F7">
      <w:pPr>
        <w:jc w:val="both"/>
        <w:rPr>
          <w:color w:val="000000"/>
          <w:lang w:val="cs-CZ"/>
        </w:rPr>
      </w:pPr>
    </w:p>
    <w:p w14:paraId="4B0E53D7" w14:textId="6D159A7C" w:rsidR="002153F7" w:rsidRPr="00284463" w:rsidRDefault="002153F7" w:rsidP="002153F7">
      <w:pPr>
        <w:jc w:val="both"/>
        <w:rPr>
          <w:color w:val="000000"/>
          <w:lang w:val="cs-CZ"/>
        </w:rPr>
      </w:pPr>
      <w:r w:rsidRPr="00284463">
        <w:rPr>
          <w:color w:val="000000"/>
          <w:lang w:val="cs-CZ"/>
        </w:rPr>
        <w:t xml:space="preserve">Stejně tak je v rámci Policie ČR i nadále striktně dodržováno přijaté opatření </w:t>
      </w:r>
      <w:r w:rsidRPr="00284463">
        <w:rPr>
          <w:b/>
          <w:color w:val="000000"/>
          <w:lang w:val="cs-CZ"/>
        </w:rPr>
        <w:t>ke zjišťování, vyhledávání a monitorování případů sexuálního obtěžování na pracovišti</w:t>
      </w:r>
      <w:r w:rsidRPr="00284463">
        <w:rPr>
          <w:color w:val="000000"/>
          <w:lang w:val="cs-CZ"/>
        </w:rPr>
        <w:t>. Jedná se především o komunikaci vedoucích pracovníků a pracovnic s podřízenými, o monitorování podmínek na pracovišti (sexuální či sexuálně podbarvené vyjadřování či vylepování plakátů s erotickým obsahem) a povinnost vedoucího pracovníka či vedoucí pracovnice takové jednání netolerovat a trestat. Příslušníci a příslušnice Policie ČR se také mohou obrátit na ombudsmana Policie ČR.</w:t>
      </w:r>
    </w:p>
    <w:p w14:paraId="707749FC" w14:textId="77777777" w:rsidR="002153F7" w:rsidRPr="00284463" w:rsidRDefault="002153F7" w:rsidP="002153F7">
      <w:pPr>
        <w:jc w:val="both"/>
        <w:rPr>
          <w:color w:val="000000"/>
          <w:lang w:val="cs-CZ"/>
        </w:rPr>
      </w:pPr>
    </w:p>
    <w:p w14:paraId="7FB33C03" w14:textId="12FF8AAA" w:rsidR="002153F7" w:rsidRPr="00284463" w:rsidRDefault="002153F7" w:rsidP="002153F7">
      <w:pPr>
        <w:jc w:val="both"/>
        <w:rPr>
          <w:color w:val="000000"/>
          <w:lang w:val="cs-CZ"/>
        </w:rPr>
      </w:pPr>
      <w:r w:rsidRPr="00284463">
        <w:rPr>
          <w:color w:val="000000"/>
          <w:lang w:val="cs-CZ"/>
        </w:rPr>
        <w:t xml:space="preserve">V rámci trestního řízení jsou, obdobně jako v předchozích letech, zapracovány metodiky pro postup v případě provádění úkonů při zjištění genderově podmíněného násilí. Zároveň jsou policisté a policistky proškoleni v postupech při realizaci omezení na svobodě, kterého je třeba v podmínkách výkonu služby a týká se specifik chování a přístupů obou pohlaví a nutných specifik odlišného postupu (např. bezpečnostní prohlídka, umístění do cely předběžného zadržení, eskorty, posttraumatická psychologická péče atd.). </w:t>
      </w:r>
    </w:p>
    <w:p w14:paraId="2D596F0A" w14:textId="77777777" w:rsidR="002153F7" w:rsidRPr="00284463" w:rsidRDefault="002153F7" w:rsidP="002153F7">
      <w:pPr>
        <w:jc w:val="both"/>
        <w:rPr>
          <w:color w:val="000000"/>
          <w:lang w:val="cs-CZ"/>
        </w:rPr>
      </w:pPr>
    </w:p>
    <w:p w14:paraId="1A124849" w14:textId="1CBA2CE8" w:rsidR="002153F7" w:rsidRPr="00284463" w:rsidRDefault="002153F7" w:rsidP="002153F7">
      <w:pPr>
        <w:jc w:val="both"/>
        <w:rPr>
          <w:color w:val="000000"/>
          <w:lang w:val="cs-CZ"/>
        </w:rPr>
      </w:pPr>
      <w:r w:rsidRPr="00284463">
        <w:rPr>
          <w:color w:val="000000"/>
          <w:lang w:val="cs-CZ"/>
        </w:rPr>
        <w:t>MV distribuuje relevantním subjektům a poskytovatelům pomoci též Příručku pro pomoc obětem obchodování s lidmi, která je návodem pro „</w:t>
      </w:r>
      <w:r w:rsidRPr="00284463">
        <w:rPr>
          <w:b/>
          <w:color w:val="000000"/>
          <w:lang w:val="cs-CZ"/>
        </w:rPr>
        <w:t>identifikaci rizikových situací a pravděpodobných obětí obchodování s lidmi s důrazem na jejich zvlášť zranitelné postavení vč. zohlednění genderových specifik</w:t>
      </w:r>
      <w:r w:rsidRPr="00284463">
        <w:rPr>
          <w:color w:val="000000"/>
          <w:lang w:val="cs-CZ"/>
        </w:rPr>
        <w:t>“ (</w:t>
      </w:r>
      <w:hyperlink r:id="rId26" w:history="1">
        <w:r w:rsidRPr="00284463">
          <w:rPr>
            <w:rStyle w:val="Hypertextovodkaz"/>
            <w:color w:val="000000"/>
            <w:lang w:val="cs-CZ"/>
          </w:rPr>
          <w:t>https://www.mvcr.cz/soubor/osl-pomoc-obetem.aspx</w:t>
        </w:r>
      </w:hyperlink>
      <w:r w:rsidRPr="00284463">
        <w:rPr>
          <w:color w:val="000000"/>
          <w:lang w:val="cs-CZ"/>
        </w:rPr>
        <w:t>).</w:t>
      </w:r>
    </w:p>
    <w:p w14:paraId="7A1EC747" w14:textId="0A924ADF" w:rsidR="002153F7" w:rsidRPr="00284463" w:rsidRDefault="002153F7" w:rsidP="007554FF">
      <w:pPr>
        <w:snapToGrid w:val="0"/>
        <w:spacing w:after="120" w:line="276" w:lineRule="auto"/>
        <w:rPr>
          <w:lang w:val="cs-CZ"/>
        </w:rPr>
      </w:pPr>
    </w:p>
    <w:p w14:paraId="7EB4EB7B" w14:textId="77777777" w:rsidR="00665146" w:rsidRPr="00284463" w:rsidRDefault="00665146" w:rsidP="005B4495">
      <w:pPr>
        <w:pStyle w:val="Nadpis2"/>
        <w:pBdr>
          <w:bottom w:val="single" w:sz="4" w:space="1" w:color="4F81BD"/>
        </w:pBdr>
        <w:rPr>
          <w:rFonts w:ascii="Times New Roman" w:hAnsi="Times New Roman"/>
          <w:i w:val="0"/>
          <w:color w:val="2F5496" w:themeColor="accent1" w:themeShade="BF"/>
          <w:lang w:val="cs-CZ"/>
        </w:rPr>
      </w:pPr>
      <w:bookmarkStart w:id="37" w:name="_Toc39673349"/>
      <w:r w:rsidRPr="00284463">
        <w:rPr>
          <w:rFonts w:ascii="Times New Roman" w:hAnsi="Times New Roman"/>
          <w:i w:val="0"/>
          <w:color w:val="2F5496" w:themeColor="accent1" w:themeShade="BF"/>
          <w:lang w:val="cs-CZ"/>
        </w:rPr>
        <w:t>Úkol č. 20</w:t>
      </w:r>
      <w:bookmarkEnd w:id="37"/>
    </w:p>
    <w:p w14:paraId="7DBADCB8" w14:textId="77777777" w:rsidR="00330F28" w:rsidRPr="00284463" w:rsidRDefault="00665146" w:rsidP="008E78B4">
      <w:pPr>
        <w:snapToGrid w:val="0"/>
        <w:spacing w:after="120" w:line="276" w:lineRule="auto"/>
        <w:jc w:val="both"/>
        <w:rPr>
          <w:b/>
          <w:lang w:val="cs-CZ"/>
        </w:rPr>
      </w:pPr>
      <w:r w:rsidRPr="00284463">
        <w:rPr>
          <w:b/>
          <w:bCs/>
          <w:lang w:val="cs-CZ"/>
        </w:rPr>
        <w:t>Obecný cíl: Při demobilizaci, odzbrojení a reintegraci (Demobilisation, disarmament, reintegration) (DDR) z</w:t>
      </w:r>
      <w:r w:rsidRPr="00284463">
        <w:rPr>
          <w:b/>
          <w:lang w:val="cs-CZ"/>
        </w:rPr>
        <w:t>ohlednit rozdílné potřeby bývalých ženských a mužských bojovníků a osob na nich závislých vyplývajících z různých potřeb sociální, mentální a ekonomická reintegrace žen.</w:t>
      </w:r>
      <w:r w:rsidRPr="00284463">
        <w:rPr>
          <w:b/>
          <w:bCs/>
          <w:lang w:val="cs-CZ"/>
        </w:rPr>
        <w:t xml:space="preserve"> Při přípravě a realizaci programů likvidace a označování min </w:t>
      </w:r>
      <w:r w:rsidRPr="00284463">
        <w:rPr>
          <w:b/>
          <w:lang w:val="cs-CZ"/>
        </w:rPr>
        <w:t>zohlednit zvláštní potřeby žen a dívek</w:t>
      </w:r>
    </w:p>
    <w:p w14:paraId="04B2759C" w14:textId="77777777" w:rsidR="00170207" w:rsidRPr="00284463" w:rsidRDefault="00170207" w:rsidP="008E78B4">
      <w:pPr>
        <w:snapToGrid w:val="0"/>
        <w:spacing w:after="120" w:line="276" w:lineRule="auto"/>
        <w:jc w:val="both"/>
        <w:rPr>
          <w:lang w:val="cs-CZ"/>
        </w:rPr>
      </w:pPr>
      <w:r w:rsidRPr="00284463">
        <w:rPr>
          <w:lang w:val="cs-CZ"/>
        </w:rPr>
        <w:t>Úkol:</w:t>
      </w:r>
    </w:p>
    <w:p w14:paraId="4D569167" w14:textId="77777777" w:rsidR="00170207" w:rsidRPr="00284463" w:rsidRDefault="00170207" w:rsidP="008E78B4">
      <w:pPr>
        <w:numPr>
          <w:ilvl w:val="0"/>
          <w:numId w:val="5"/>
        </w:numPr>
        <w:snapToGrid w:val="0"/>
        <w:spacing w:after="120" w:line="276" w:lineRule="auto"/>
        <w:jc w:val="both"/>
        <w:rPr>
          <w:lang w:val="cs-CZ"/>
        </w:rPr>
      </w:pPr>
      <w:r w:rsidRPr="00284463">
        <w:rPr>
          <w:lang w:val="cs-CZ"/>
        </w:rPr>
        <w:t>Zvážení realizace projektů zaměřených na DDR/SSR zohledňujících specifické potřeby žen a dívek</w:t>
      </w:r>
      <w:r w:rsidR="008E78B4" w:rsidRPr="00284463">
        <w:rPr>
          <w:lang w:val="cs-CZ"/>
        </w:rPr>
        <w:t>.</w:t>
      </w:r>
    </w:p>
    <w:p w14:paraId="150D90A6" w14:textId="77777777" w:rsidR="00ED3262" w:rsidRPr="00284463" w:rsidRDefault="00ED3262" w:rsidP="00F81E82">
      <w:pPr>
        <w:snapToGrid w:val="0"/>
        <w:spacing w:after="120" w:line="276" w:lineRule="auto"/>
        <w:jc w:val="both"/>
        <w:rPr>
          <w:color w:val="000000"/>
          <w:lang w:val="cs-CZ"/>
        </w:rPr>
      </w:pPr>
    </w:p>
    <w:p w14:paraId="16407299" w14:textId="2ED4F697" w:rsidR="002153F7" w:rsidRPr="00284463" w:rsidRDefault="002153F7" w:rsidP="002153F7">
      <w:pPr>
        <w:rPr>
          <w:lang w:val="cs-CZ"/>
        </w:rPr>
      </w:pPr>
      <w:r w:rsidRPr="00284463">
        <w:rPr>
          <w:lang w:val="cs-CZ"/>
        </w:rPr>
        <w:t>Podpořeno zejména v rámci programů UNICEF v Burkině Faso a Nigeru (2x 10 mil. Kč) a v programu UNHCR v Etiopii (10 mil. Kč).</w:t>
      </w:r>
    </w:p>
    <w:p w14:paraId="2316B4F9" w14:textId="77777777" w:rsidR="0028374E" w:rsidRPr="00284463" w:rsidRDefault="0028374E" w:rsidP="007554FF">
      <w:pPr>
        <w:snapToGrid w:val="0"/>
        <w:spacing w:after="120" w:line="276" w:lineRule="auto"/>
        <w:jc w:val="both"/>
        <w:rPr>
          <w:sz w:val="22"/>
          <w:szCs w:val="22"/>
          <w:lang w:val="cs-CZ"/>
        </w:rPr>
      </w:pPr>
    </w:p>
    <w:p w14:paraId="165C4C6D" w14:textId="77777777" w:rsidR="00644731" w:rsidRPr="00284463" w:rsidRDefault="00644731" w:rsidP="007554FF">
      <w:pPr>
        <w:snapToGrid w:val="0"/>
        <w:spacing w:after="120" w:line="276" w:lineRule="auto"/>
        <w:jc w:val="both"/>
        <w:rPr>
          <w:sz w:val="22"/>
          <w:szCs w:val="22"/>
          <w:lang w:val="cs-CZ"/>
        </w:rPr>
      </w:pPr>
    </w:p>
    <w:p w14:paraId="5EAC4E0A" w14:textId="77777777" w:rsidR="00170207" w:rsidRPr="00284463" w:rsidRDefault="00D51FA0" w:rsidP="006B0169">
      <w:pPr>
        <w:pStyle w:val="Nadpis1"/>
        <w:numPr>
          <w:ilvl w:val="0"/>
          <w:numId w:val="9"/>
        </w:numPr>
        <w:pBdr>
          <w:top w:val="single" w:sz="4" w:space="1" w:color="4F81BD"/>
          <w:left w:val="single" w:sz="4" w:space="4" w:color="4F81BD"/>
          <w:bottom w:val="single" w:sz="4" w:space="1" w:color="4F81BD"/>
          <w:right w:val="single" w:sz="4" w:space="4" w:color="4F81BD"/>
          <w:between w:val="single" w:sz="4" w:space="1" w:color="4F81BD"/>
          <w:bar w:val="single" w:sz="4" w:color="4F81BD"/>
        </w:pBdr>
        <w:rPr>
          <w:rFonts w:ascii="Times New Roman" w:hAnsi="Times New Roman"/>
          <w:color w:val="5B9BD5"/>
          <w:sz w:val="28"/>
          <w:szCs w:val="28"/>
          <w:lang w:val="cs-CZ"/>
        </w:rPr>
      </w:pPr>
      <w:bookmarkStart w:id="38" w:name="_Toc469998696"/>
      <w:bookmarkStart w:id="39" w:name="_Toc8495771"/>
      <w:r w:rsidRPr="00284463">
        <w:rPr>
          <w:rFonts w:ascii="Times New Roman" w:hAnsi="Times New Roman"/>
          <w:color w:val="5B9BD5"/>
          <w:sz w:val="28"/>
          <w:szCs w:val="28"/>
          <w:lang w:val="cs-CZ"/>
        </w:rPr>
        <w:br w:type="page"/>
      </w:r>
      <w:bookmarkStart w:id="40" w:name="_Toc39673350"/>
      <w:r w:rsidR="00052CA2" w:rsidRPr="00284463">
        <w:rPr>
          <w:rFonts w:ascii="Times New Roman" w:hAnsi="Times New Roman"/>
          <w:color w:val="2F5496" w:themeColor="accent1" w:themeShade="BF"/>
          <w:sz w:val="28"/>
          <w:szCs w:val="28"/>
          <w:lang w:val="cs-CZ"/>
        </w:rPr>
        <w:lastRenderedPageBreak/>
        <w:t>Agenda WPS a současné globální výzvy</w:t>
      </w:r>
      <w:bookmarkEnd w:id="38"/>
      <w:bookmarkEnd w:id="39"/>
      <w:bookmarkEnd w:id="40"/>
    </w:p>
    <w:p w14:paraId="133AB82B" w14:textId="77777777" w:rsidR="005F2121" w:rsidRPr="00284463" w:rsidRDefault="005F2121" w:rsidP="007554FF">
      <w:pPr>
        <w:snapToGrid w:val="0"/>
        <w:spacing w:after="120" w:line="276" w:lineRule="auto"/>
        <w:jc w:val="center"/>
        <w:rPr>
          <w:b/>
          <w:sz w:val="22"/>
          <w:szCs w:val="22"/>
          <w:lang w:val="cs-CZ" w:eastAsia="cs-CZ"/>
        </w:rPr>
      </w:pPr>
    </w:p>
    <w:p w14:paraId="4EB7F7A0" w14:textId="77777777" w:rsidR="00170207" w:rsidRPr="00284463" w:rsidRDefault="00170207" w:rsidP="005B4495">
      <w:pPr>
        <w:pStyle w:val="Nadpis2"/>
        <w:pBdr>
          <w:bottom w:val="single" w:sz="4" w:space="1" w:color="4F81BD"/>
        </w:pBdr>
        <w:rPr>
          <w:rFonts w:ascii="Times New Roman" w:hAnsi="Times New Roman"/>
          <w:i w:val="0"/>
          <w:color w:val="2F5496" w:themeColor="accent1" w:themeShade="BF"/>
          <w:lang w:val="cs-CZ"/>
        </w:rPr>
      </w:pPr>
      <w:bookmarkStart w:id="41" w:name="_Toc39673351"/>
      <w:r w:rsidRPr="00284463">
        <w:rPr>
          <w:rFonts w:ascii="Times New Roman" w:hAnsi="Times New Roman"/>
          <w:i w:val="0"/>
          <w:color w:val="2F5496" w:themeColor="accent1" w:themeShade="BF"/>
          <w:lang w:val="cs-CZ"/>
        </w:rPr>
        <w:t>Úkol č. 21</w:t>
      </w:r>
      <w:bookmarkEnd w:id="41"/>
    </w:p>
    <w:p w14:paraId="02A3A333" w14:textId="77777777" w:rsidR="00330F28" w:rsidRPr="00284463" w:rsidRDefault="00170207" w:rsidP="008E78B4">
      <w:pPr>
        <w:snapToGrid w:val="0"/>
        <w:spacing w:after="120" w:line="276" w:lineRule="auto"/>
        <w:jc w:val="both"/>
        <w:rPr>
          <w:b/>
          <w:lang w:val="cs-CZ"/>
        </w:rPr>
      </w:pPr>
      <w:r w:rsidRPr="00284463">
        <w:rPr>
          <w:b/>
          <w:lang w:val="cs-CZ" w:eastAsia="cs-CZ"/>
        </w:rPr>
        <w:t>Obecný cíl: Přihlížet ke specifickým potřebám žen a dívek při realizaci integrační politiky, podpora jejich aktivní participace, p</w:t>
      </w:r>
      <w:r w:rsidRPr="00284463">
        <w:rPr>
          <w:b/>
          <w:lang w:val="cs-CZ"/>
        </w:rPr>
        <w:t>reventivní působení proti sociálnímu vyloučení a genderově podmíněné marginalizaci vícenásobně diskriminovaných osob – zejm. žen a dívek</w:t>
      </w:r>
      <w:r w:rsidR="001E57E9" w:rsidRPr="00284463">
        <w:rPr>
          <w:b/>
          <w:lang w:val="cs-CZ"/>
        </w:rPr>
        <w:t>-</w:t>
      </w:r>
      <w:r w:rsidR="001045B8" w:rsidRPr="00284463">
        <w:rPr>
          <w:b/>
          <w:lang w:val="cs-CZ"/>
        </w:rPr>
        <w:t>cizinek,</w:t>
      </w:r>
      <w:r w:rsidRPr="00284463">
        <w:rPr>
          <w:b/>
          <w:lang w:val="cs-CZ"/>
        </w:rPr>
        <w:t xml:space="preserve"> resp. </w:t>
      </w:r>
      <w:r w:rsidR="001E57E9" w:rsidRPr="00284463">
        <w:rPr>
          <w:b/>
          <w:lang w:val="cs-CZ"/>
        </w:rPr>
        <w:t>m</w:t>
      </w:r>
      <w:r w:rsidRPr="00284463">
        <w:rPr>
          <w:b/>
          <w:lang w:val="cs-CZ"/>
        </w:rPr>
        <w:t>igrantek</w:t>
      </w:r>
    </w:p>
    <w:p w14:paraId="5AB8887C" w14:textId="77777777" w:rsidR="00170207" w:rsidRPr="00284463" w:rsidRDefault="00170207" w:rsidP="008E78B4">
      <w:pPr>
        <w:snapToGrid w:val="0"/>
        <w:spacing w:after="120" w:line="276" w:lineRule="auto"/>
        <w:jc w:val="both"/>
        <w:rPr>
          <w:lang w:val="cs-CZ" w:eastAsia="cs-CZ"/>
        </w:rPr>
      </w:pPr>
      <w:r w:rsidRPr="00284463">
        <w:rPr>
          <w:lang w:val="cs-CZ" w:eastAsia="cs-CZ"/>
        </w:rPr>
        <w:t>Úkoly:</w:t>
      </w:r>
    </w:p>
    <w:p w14:paraId="7458D649" w14:textId="77777777" w:rsidR="00170207" w:rsidRPr="00284463" w:rsidRDefault="00170207" w:rsidP="008E78B4">
      <w:pPr>
        <w:numPr>
          <w:ilvl w:val="0"/>
          <w:numId w:val="5"/>
        </w:numPr>
        <w:snapToGrid w:val="0"/>
        <w:spacing w:after="120" w:line="276" w:lineRule="auto"/>
        <w:jc w:val="both"/>
        <w:rPr>
          <w:lang w:val="cs-CZ" w:eastAsia="cs-CZ"/>
        </w:rPr>
      </w:pPr>
      <w:r w:rsidRPr="00284463">
        <w:rPr>
          <w:lang w:val="cs-CZ" w:eastAsia="cs-CZ"/>
        </w:rPr>
        <w:t>Podpora</w:t>
      </w:r>
      <w:r w:rsidR="002621D3" w:rsidRPr="00284463">
        <w:rPr>
          <w:lang w:val="cs-CZ" w:eastAsia="cs-CZ"/>
        </w:rPr>
        <w:t xml:space="preserve"> zájmu žen a dívek</w:t>
      </w:r>
      <w:r w:rsidR="001E57E9" w:rsidRPr="00284463">
        <w:rPr>
          <w:lang w:val="cs-CZ" w:eastAsia="cs-CZ"/>
        </w:rPr>
        <w:t>-</w:t>
      </w:r>
      <w:r w:rsidR="002621D3" w:rsidRPr="00284463">
        <w:rPr>
          <w:lang w:val="cs-CZ" w:eastAsia="cs-CZ"/>
        </w:rPr>
        <w:t>migrantek/</w:t>
      </w:r>
      <w:r w:rsidRPr="00284463">
        <w:rPr>
          <w:lang w:val="cs-CZ" w:eastAsia="cs-CZ"/>
        </w:rPr>
        <w:t>cizinek o přímé zapojení do realizace integrační politiky (zejm. na pozicích tlumočnic, interkulturních asistentek ve školách a na úřadech, lektorek kurzů apod.), případně přímé působení ve veřejné správě, NNO či Integračních centrech</w:t>
      </w:r>
      <w:r w:rsidR="008E78B4" w:rsidRPr="00284463">
        <w:rPr>
          <w:lang w:val="cs-CZ" w:eastAsia="cs-CZ"/>
        </w:rPr>
        <w:t>;</w:t>
      </w:r>
    </w:p>
    <w:p w14:paraId="0F21AC2D" w14:textId="77777777" w:rsidR="00170207" w:rsidRPr="00284463" w:rsidRDefault="00170207" w:rsidP="008E78B4">
      <w:pPr>
        <w:numPr>
          <w:ilvl w:val="0"/>
          <w:numId w:val="5"/>
        </w:numPr>
        <w:snapToGrid w:val="0"/>
        <w:spacing w:after="120" w:line="276" w:lineRule="auto"/>
        <w:jc w:val="both"/>
        <w:rPr>
          <w:lang w:val="cs-CZ" w:eastAsia="cs-CZ"/>
        </w:rPr>
      </w:pPr>
      <w:r w:rsidRPr="00284463">
        <w:rPr>
          <w:lang w:val="cs-CZ"/>
        </w:rPr>
        <w:t xml:space="preserve">Zohledňování specifických </w:t>
      </w:r>
      <w:r w:rsidR="002621D3" w:rsidRPr="00284463">
        <w:rPr>
          <w:lang w:val="cs-CZ"/>
        </w:rPr>
        <w:t>potřeb žen a dívek</w:t>
      </w:r>
      <w:r w:rsidR="001E57E9" w:rsidRPr="00284463">
        <w:rPr>
          <w:lang w:val="cs-CZ"/>
        </w:rPr>
        <w:t>-</w:t>
      </w:r>
      <w:r w:rsidR="002621D3" w:rsidRPr="00284463">
        <w:rPr>
          <w:lang w:val="cs-CZ"/>
        </w:rPr>
        <w:t>migrantek/</w:t>
      </w:r>
      <w:r w:rsidRPr="00284463">
        <w:rPr>
          <w:lang w:val="cs-CZ"/>
        </w:rPr>
        <w:t>cizinek, zajišťování jejich ochrany v přijímacích a pobytových střediscích určených výlučně pro zranitelné skupiny na základě genderově specifických potřeb</w:t>
      </w:r>
      <w:r w:rsidR="008E78B4" w:rsidRPr="00284463">
        <w:rPr>
          <w:lang w:val="cs-CZ"/>
        </w:rPr>
        <w:t>;</w:t>
      </w:r>
    </w:p>
    <w:p w14:paraId="19D7055B" w14:textId="77777777" w:rsidR="00170207" w:rsidRPr="00284463" w:rsidRDefault="00170207" w:rsidP="008E78B4">
      <w:pPr>
        <w:numPr>
          <w:ilvl w:val="0"/>
          <w:numId w:val="5"/>
        </w:numPr>
        <w:snapToGrid w:val="0"/>
        <w:spacing w:after="120" w:line="276" w:lineRule="auto"/>
        <w:jc w:val="both"/>
        <w:rPr>
          <w:lang w:val="cs-CZ" w:eastAsia="cs-CZ"/>
        </w:rPr>
      </w:pPr>
      <w:r w:rsidRPr="00284463">
        <w:rPr>
          <w:lang w:val="cs-CZ"/>
        </w:rPr>
        <w:t>Sledování míry zapojení žen a dívek</w:t>
      </w:r>
      <w:r w:rsidR="001E57E9" w:rsidRPr="00284463">
        <w:rPr>
          <w:lang w:val="cs-CZ"/>
        </w:rPr>
        <w:t>-</w:t>
      </w:r>
      <w:r w:rsidRPr="00284463">
        <w:rPr>
          <w:lang w:val="cs-CZ"/>
        </w:rPr>
        <w:t>migrantek do Státního integračního programu (SI</w:t>
      </w:r>
      <w:r w:rsidR="002621D3" w:rsidRPr="00284463">
        <w:rPr>
          <w:lang w:val="cs-CZ"/>
        </w:rPr>
        <w:t>P) – viz usnesení vlády č. 954/</w:t>
      </w:r>
      <w:r w:rsidRPr="00284463">
        <w:rPr>
          <w:lang w:val="cs-CZ"/>
        </w:rPr>
        <w:t>2015</w:t>
      </w:r>
      <w:r w:rsidR="008E78B4" w:rsidRPr="00284463">
        <w:rPr>
          <w:lang w:val="cs-CZ"/>
        </w:rPr>
        <w:t>;</w:t>
      </w:r>
    </w:p>
    <w:p w14:paraId="68F520B7" w14:textId="77777777" w:rsidR="00170207" w:rsidRPr="00284463" w:rsidRDefault="00170207" w:rsidP="008E78B4">
      <w:pPr>
        <w:numPr>
          <w:ilvl w:val="0"/>
          <w:numId w:val="5"/>
        </w:numPr>
        <w:snapToGrid w:val="0"/>
        <w:spacing w:after="120" w:line="276" w:lineRule="auto"/>
        <w:jc w:val="both"/>
        <w:rPr>
          <w:lang w:val="cs-CZ" w:eastAsia="cs-CZ"/>
        </w:rPr>
      </w:pPr>
      <w:r w:rsidRPr="00284463">
        <w:rPr>
          <w:lang w:val="cs-CZ"/>
        </w:rPr>
        <w:t>Monitoring poskytnutých služeb v rámci sociálního a právního poradenství</w:t>
      </w:r>
      <w:r w:rsidR="008E78B4" w:rsidRPr="00284463">
        <w:rPr>
          <w:lang w:val="cs-CZ"/>
        </w:rPr>
        <w:t>.</w:t>
      </w:r>
    </w:p>
    <w:p w14:paraId="1EF4F036" w14:textId="77777777" w:rsidR="005C7A09" w:rsidRPr="00284463" w:rsidRDefault="005C7A09" w:rsidP="007554FF">
      <w:pPr>
        <w:snapToGrid w:val="0"/>
        <w:spacing w:after="120" w:line="276" w:lineRule="auto"/>
        <w:ind w:left="720"/>
        <w:rPr>
          <w:lang w:val="cs-CZ" w:eastAsia="cs-CZ"/>
        </w:rPr>
      </w:pPr>
    </w:p>
    <w:p w14:paraId="7728E1B6" w14:textId="77777777" w:rsidR="002153F7" w:rsidRPr="00284463" w:rsidRDefault="002153F7" w:rsidP="002153F7">
      <w:pPr>
        <w:jc w:val="both"/>
        <w:rPr>
          <w:color w:val="000000"/>
          <w:lang w:val="cs-CZ"/>
        </w:rPr>
      </w:pPr>
      <w:r w:rsidRPr="00284463">
        <w:rPr>
          <w:color w:val="000000"/>
          <w:lang w:val="cs-CZ"/>
        </w:rPr>
        <w:t xml:space="preserve">Integrační politika ČR pro rok 2020 klade nadále důraz na integraci migrantek (zejména skrze </w:t>
      </w:r>
      <w:r w:rsidRPr="00284463">
        <w:rPr>
          <w:b/>
          <w:color w:val="000000"/>
          <w:lang w:val="cs-CZ"/>
        </w:rPr>
        <w:t>Postup při realizaci aktualizované Koncepce integrace cizinců – Ve vzájemném respektu v roce 2020</w:t>
      </w:r>
      <w:r w:rsidRPr="00284463">
        <w:rPr>
          <w:color w:val="000000"/>
          <w:lang w:val="cs-CZ"/>
        </w:rPr>
        <w:t>, který byl schválen usnesením vlády č. 918 ze dne 16. prosince 2019), a to nejen těch ekonomicky aktivních, ale i žen v domácnosti. Podporována jsou zejména opatření, která jim umožní zúčastnit se integračních aktivit a vytvořit adresnou nabídku na míru upravených integračních opatření.</w:t>
      </w:r>
    </w:p>
    <w:p w14:paraId="53771832" w14:textId="77777777" w:rsidR="00E166D3" w:rsidRPr="00284463" w:rsidRDefault="00E166D3" w:rsidP="002153F7">
      <w:pPr>
        <w:jc w:val="both"/>
        <w:rPr>
          <w:color w:val="000000"/>
          <w:lang w:val="cs-CZ"/>
        </w:rPr>
      </w:pPr>
    </w:p>
    <w:p w14:paraId="7667F887" w14:textId="5D98AD59" w:rsidR="002153F7" w:rsidRPr="00284463" w:rsidRDefault="002153F7" w:rsidP="00E166D3">
      <w:pPr>
        <w:jc w:val="both"/>
        <w:rPr>
          <w:bCs/>
          <w:iCs/>
          <w:color w:val="000000"/>
          <w:lang w:val="cs-CZ"/>
        </w:rPr>
      </w:pPr>
      <w:r w:rsidRPr="00284463">
        <w:rPr>
          <w:color w:val="000000"/>
          <w:lang w:val="cs-CZ"/>
        </w:rPr>
        <w:t>Obdobně jako v minulých letech je v rámci státního integračního programu pro držitele a držitelky mezinárodní ochrany ke všem osobám přistupováno na individuální bázi. Ve spolupráci s oprávněnými osobami je zpracováván individuální integrační plán, jehož cílem je přizpůsobit integrační opatření v oblasti vzdělání, zaměstnání, bydlení, v oblasti zdravotní</w:t>
      </w:r>
      <w:r w:rsidR="00413EB5" w:rsidRPr="00284463">
        <w:rPr>
          <w:color w:val="000000"/>
          <w:lang w:val="cs-CZ"/>
        </w:rPr>
        <w:t>ch</w:t>
      </w:r>
      <w:r w:rsidRPr="00284463">
        <w:rPr>
          <w:color w:val="000000"/>
          <w:lang w:val="cs-CZ"/>
        </w:rPr>
        <w:t xml:space="preserve"> a sociální</w:t>
      </w:r>
      <w:r w:rsidR="00413EB5" w:rsidRPr="00284463">
        <w:rPr>
          <w:color w:val="000000"/>
          <w:lang w:val="cs-CZ"/>
        </w:rPr>
        <w:t>ch</w:t>
      </w:r>
      <w:r w:rsidRPr="00284463">
        <w:rPr>
          <w:color w:val="000000"/>
          <w:lang w:val="cs-CZ"/>
        </w:rPr>
        <w:t xml:space="preserve"> potřeb konkrétní osoby. </w:t>
      </w:r>
      <w:r w:rsidRPr="00284463">
        <w:rPr>
          <w:b/>
          <w:color w:val="000000"/>
          <w:lang w:val="cs-CZ"/>
        </w:rPr>
        <w:t>Zranitelným osobám je věnována zvláštní pozornost</w:t>
      </w:r>
      <w:r w:rsidRPr="00284463">
        <w:rPr>
          <w:color w:val="000000"/>
          <w:lang w:val="cs-CZ"/>
        </w:rPr>
        <w:t>. Také výuku českého jazyka je možné přizpůsobit individuálním potřebám jednotlivých osob, ženám na rodičovské dovolené je možné zajistit po dobu výuky hlídání dětí. Individualizovaný přístup je v tomto ohledu vstřícnější než obecná opatření a umožňuje tak zohlednit potřeby dané jak příslušností ke genderové skupině, tak i k ohroženým a marginalizovaným skupinám.</w:t>
      </w:r>
    </w:p>
    <w:p w14:paraId="21AB3A2E" w14:textId="77777777" w:rsidR="00E166D3" w:rsidRPr="00284463" w:rsidRDefault="00E166D3" w:rsidP="00E166D3">
      <w:pPr>
        <w:jc w:val="both"/>
        <w:rPr>
          <w:lang w:val="cs-CZ"/>
        </w:rPr>
      </w:pPr>
    </w:p>
    <w:p w14:paraId="0DB6452A" w14:textId="5DDA7AF0" w:rsidR="002153F7" w:rsidRPr="00284463" w:rsidRDefault="002153F7" w:rsidP="00E166D3">
      <w:pPr>
        <w:jc w:val="both"/>
        <w:rPr>
          <w:bCs/>
          <w:iCs/>
          <w:color w:val="000000"/>
          <w:lang w:val="cs-CZ"/>
        </w:rPr>
      </w:pPr>
      <w:r w:rsidRPr="00284463">
        <w:rPr>
          <w:lang w:val="cs-CZ"/>
        </w:rPr>
        <w:t xml:space="preserve">Popularizaci problematiky rovnosti žen a mužů zajišťuje MV dovnitř i vně resortu nejen resortním webem, ale také prostřednictvím časopisů Policista a Veřejná správa. Časopis Veřejná správa průběžně zveřejňuje témata týkající se personální problematiky včetně aspektu rovnosti žen a mužů. Tématům zahrnujícím problematiku rovnosti žen a mužů byl </w:t>
      </w:r>
      <w:r w:rsidRPr="00284463">
        <w:rPr>
          <w:b/>
          <w:lang w:val="cs-CZ"/>
        </w:rPr>
        <w:t>v rámci časopisu Veřejná správa</w:t>
      </w:r>
      <w:r w:rsidRPr="00284463">
        <w:rPr>
          <w:lang w:val="cs-CZ"/>
        </w:rPr>
        <w:t xml:space="preserve"> v roce 2020 věnován např. příspěvek o problematice integrace </w:t>
      </w:r>
      <w:r w:rsidRPr="00284463">
        <w:rPr>
          <w:lang w:val="cs-CZ"/>
        </w:rPr>
        <w:lastRenderedPageBreak/>
        <w:t xml:space="preserve">cizinců a cizinek, včetně zhodnocení proběhlého kurzu Integrace cizinců (2/2020). Tyto aktuality tak popularizují nejen téma rovnosti žen a mužů, ale také zviditelňují problematiku integrace cizinců a cizinek v kontextu České republiky. </w:t>
      </w:r>
    </w:p>
    <w:p w14:paraId="11AFE692" w14:textId="77777777" w:rsidR="00170207" w:rsidRPr="00284463" w:rsidRDefault="00170207" w:rsidP="00F51504">
      <w:pPr>
        <w:snapToGrid w:val="0"/>
        <w:spacing w:after="120" w:line="276" w:lineRule="auto"/>
        <w:rPr>
          <w:lang w:val="cs-CZ" w:eastAsia="cs-CZ"/>
        </w:rPr>
      </w:pPr>
    </w:p>
    <w:p w14:paraId="242D3ACB" w14:textId="77777777" w:rsidR="00170207" w:rsidRPr="00284463" w:rsidRDefault="00170207" w:rsidP="005B4495">
      <w:pPr>
        <w:pStyle w:val="Nadpis2"/>
        <w:pBdr>
          <w:bottom w:val="single" w:sz="4" w:space="1" w:color="4F81BD"/>
        </w:pBdr>
        <w:rPr>
          <w:rFonts w:ascii="Times New Roman" w:hAnsi="Times New Roman"/>
          <w:i w:val="0"/>
          <w:color w:val="2F5496" w:themeColor="accent1" w:themeShade="BF"/>
          <w:lang w:val="cs-CZ"/>
        </w:rPr>
      </w:pPr>
      <w:bookmarkStart w:id="42" w:name="_Toc39673352"/>
      <w:r w:rsidRPr="00284463">
        <w:rPr>
          <w:rFonts w:ascii="Times New Roman" w:hAnsi="Times New Roman"/>
          <w:i w:val="0"/>
          <w:color w:val="2F5496" w:themeColor="accent1" w:themeShade="BF"/>
          <w:lang w:val="cs-CZ"/>
        </w:rPr>
        <w:t>Úkol č. 22</w:t>
      </w:r>
      <w:bookmarkEnd w:id="42"/>
    </w:p>
    <w:p w14:paraId="763549B8" w14:textId="77777777" w:rsidR="00330F28" w:rsidRPr="00284463" w:rsidRDefault="00170207" w:rsidP="008E78B4">
      <w:pPr>
        <w:snapToGrid w:val="0"/>
        <w:spacing w:after="120" w:line="276" w:lineRule="auto"/>
        <w:jc w:val="both"/>
        <w:rPr>
          <w:b/>
          <w:lang w:val="cs-CZ" w:eastAsia="cs-CZ"/>
        </w:rPr>
      </w:pPr>
      <w:r w:rsidRPr="00284463">
        <w:rPr>
          <w:b/>
          <w:lang w:val="cs-CZ" w:eastAsia="cs-CZ"/>
        </w:rPr>
        <w:t>Obecný cíl: Přihlížet ke specifickým potřebám žen a dívek při stanovování národních priorit a strategií/koncepcí boje s terorismem</w:t>
      </w:r>
    </w:p>
    <w:p w14:paraId="755A1F16" w14:textId="77777777" w:rsidR="00170207" w:rsidRPr="00284463" w:rsidRDefault="00170207" w:rsidP="008E78B4">
      <w:pPr>
        <w:snapToGrid w:val="0"/>
        <w:spacing w:after="120" w:line="276" w:lineRule="auto"/>
        <w:jc w:val="both"/>
        <w:rPr>
          <w:lang w:val="cs-CZ"/>
        </w:rPr>
      </w:pPr>
      <w:r w:rsidRPr="00284463">
        <w:rPr>
          <w:lang w:val="cs-CZ"/>
        </w:rPr>
        <w:t>Úkoly:</w:t>
      </w:r>
    </w:p>
    <w:p w14:paraId="1D6789F4" w14:textId="77777777" w:rsidR="00170207" w:rsidRPr="00284463" w:rsidRDefault="00170207" w:rsidP="008E78B4">
      <w:pPr>
        <w:numPr>
          <w:ilvl w:val="0"/>
          <w:numId w:val="5"/>
        </w:numPr>
        <w:snapToGrid w:val="0"/>
        <w:spacing w:after="120" w:line="276" w:lineRule="auto"/>
        <w:jc w:val="both"/>
        <w:rPr>
          <w:lang w:val="cs-CZ" w:eastAsia="cs-CZ"/>
        </w:rPr>
      </w:pPr>
      <w:r w:rsidRPr="00284463">
        <w:rPr>
          <w:lang w:val="cs-CZ" w:eastAsia="cs-CZ"/>
        </w:rPr>
        <w:t>Průběžně zohledňovat specifika hrozeb, které terorismus pro ženy a dívky představuje</w:t>
      </w:r>
      <w:r w:rsidR="008E78B4" w:rsidRPr="00284463">
        <w:rPr>
          <w:lang w:val="cs-CZ" w:eastAsia="cs-CZ"/>
        </w:rPr>
        <w:t>;</w:t>
      </w:r>
    </w:p>
    <w:p w14:paraId="28240BF7" w14:textId="77777777" w:rsidR="00170207" w:rsidRPr="00284463" w:rsidRDefault="00170207" w:rsidP="008E78B4">
      <w:pPr>
        <w:numPr>
          <w:ilvl w:val="0"/>
          <w:numId w:val="5"/>
        </w:numPr>
        <w:snapToGrid w:val="0"/>
        <w:spacing w:after="120" w:line="276" w:lineRule="auto"/>
        <w:jc w:val="both"/>
        <w:rPr>
          <w:lang w:val="cs-CZ" w:eastAsia="cs-CZ"/>
        </w:rPr>
      </w:pPr>
      <w:r w:rsidRPr="00284463">
        <w:rPr>
          <w:lang w:val="cs-CZ" w:eastAsia="cs-CZ"/>
        </w:rPr>
        <w:t>Akceptace/integrace specifických potřeb žen a dívek při stanovování a definování národních priorit boje s terorismem a vypracovávání příslušných strategických a koncepčních materiálů</w:t>
      </w:r>
      <w:r w:rsidR="008E78B4" w:rsidRPr="00284463">
        <w:rPr>
          <w:lang w:val="cs-CZ" w:eastAsia="cs-CZ"/>
        </w:rPr>
        <w:t>;</w:t>
      </w:r>
    </w:p>
    <w:p w14:paraId="09EBD0A9" w14:textId="77777777" w:rsidR="00170207" w:rsidRPr="00284463" w:rsidRDefault="00170207" w:rsidP="008E78B4">
      <w:pPr>
        <w:numPr>
          <w:ilvl w:val="0"/>
          <w:numId w:val="5"/>
        </w:numPr>
        <w:snapToGrid w:val="0"/>
        <w:spacing w:after="120" w:line="276" w:lineRule="auto"/>
        <w:jc w:val="both"/>
        <w:rPr>
          <w:lang w:val="cs-CZ" w:eastAsia="cs-CZ"/>
        </w:rPr>
      </w:pPr>
      <w:r w:rsidRPr="00284463">
        <w:rPr>
          <w:lang w:val="cs-CZ" w:eastAsia="cs-CZ"/>
        </w:rPr>
        <w:t>Dle konkrétních možností zapojovat ženské organizace a jiné relevantní subjekty věnující se právům žen a dívek do zmíněného procesu. Dle možností podporovat financování těchto organizací</w:t>
      </w:r>
      <w:r w:rsidR="008E78B4" w:rsidRPr="00284463">
        <w:rPr>
          <w:lang w:val="cs-CZ" w:eastAsia="cs-CZ"/>
        </w:rPr>
        <w:t>.</w:t>
      </w:r>
    </w:p>
    <w:p w14:paraId="36B09346" w14:textId="77777777" w:rsidR="00170207" w:rsidRPr="00284463" w:rsidRDefault="00170207" w:rsidP="007554FF">
      <w:pPr>
        <w:snapToGrid w:val="0"/>
        <w:spacing w:after="120" w:line="276" w:lineRule="auto"/>
        <w:rPr>
          <w:lang w:val="cs-CZ" w:eastAsia="cs-CZ"/>
        </w:rPr>
      </w:pPr>
    </w:p>
    <w:p w14:paraId="423BEA26" w14:textId="77777777" w:rsidR="00840AA8" w:rsidRPr="00284463" w:rsidRDefault="00840AA8" w:rsidP="00840AA8">
      <w:pPr>
        <w:jc w:val="both"/>
        <w:rPr>
          <w:color w:val="000000"/>
          <w:lang w:val="cs-CZ"/>
        </w:rPr>
      </w:pPr>
      <w:bookmarkStart w:id="43" w:name="_Toc469998697"/>
      <w:r w:rsidRPr="00284463">
        <w:rPr>
          <w:color w:val="000000"/>
          <w:lang w:val="cs-CZ"/>
        </w:rPr>
        <w:t xml:space="preserve">Shodně jako v předchozích letech lze v i roce 2020 v obecné rovině konstatovat, že při přípravě všech dokumentů v oblasti boje s </w:t>
      </w:r>
      <w:r w:rsidRPr="00284463">
        <w:rPr>
          <w:b/>
          <w:color w:val="000000"/>
          <w:lang w:val="cs-CZ"/>
        </w:rPr>
        <w:t>terorismem jsou zohledňována specifika, která terorismus pro ženy a dívky představuje</w:t>
      </w:r>
      <w:r w:rsidRPr="00284463">
        <w:rPr>
          <w:color w:val="000000"/>
          <w:lang w:val="cs-CZ"/>
        </w:rPr>
        <w:t xml:space="preserve">. Ženy se standardně podílí na vytváření strategických dokumentů jak přímo, tak v připomínkových řízeních. V aktuálním období implementace rezoluce RB OSN k problematice WPS lze o výrazné participaci žen hovořit např. namátkou u těchto koncepcí a strategií boje s terorismem, popř. koncepcí, které se boje s terorismem okrajově dotýkají: </w:t>
      </w:r>
    </w:p>
    <w:p w14:paraId="21132383" w14:textId="77777777" w:rsidR="00840AA8" w:rsidRPr="00284463" w:rsidRDefault="00840AA8" w:rsidP="00840AA8">
      <w:pPr>
        <w:jc w:val="both"/>
        <w:rPr>
          <w:color w:val="000000"/>
          <w:lang w:val="cs-CZ"/>
        </w:rPr>
      </w:pPr>
    </w:p>
    <w:p w14:paraId="0F92901F" w14:textId="3E8F789E" w:rsidR="00840AA8" w:rsidRPr="00284463" w:rsidRDefault="00840AA8" w:rsidP="00840AA8">
      <w:pPr>
        <w:jc w:val="both"/>
        <w:rPr>
          <w:color w:val="000000"/>
          <w:lang w:val="cs-CZ"/>
        </w:rPr>
      </w:pPr>
      <w:r w:rsidRPr="00284463">
        <w:rPr>
          <w:color w:val="000000"/>
          <w:lang w:val="cs-CZ"/>
        </w:rPr>
        <w:t xml:space="preserve">Koncepce boje proti extremismu (na jednotlivá léta), Akční plán prevence domácího a genderově podmíněného násilí na léta 2019 – 2022, Národní strategie boje proti obchodování s lidmi (pro období 2020 až 2023), Strategie sociálního začleňování 2014 – 2020, Strategie boje proti sociálnímu vyloučení na období, Strategie romské integrace do roku 2020, Strategie pro práci Policie ČR ve vztahu k menšinám, Koncepce prevence a řešení problematiky bezdomovectví v ČR do roku 2020, Národní strategie ochrany práv dětí, Národní strategie primární prevence rizikového chování dětí a mládeže na období 2019 – 2027, Národní strategie bezpečnosti silničního provozu do roku 2020, Národní strategie kybernetické bezpečnosti České republiky na období let 2015 až 2020 a další. </w:t>
      </w:r>
    </w:p>
    <w:p w14:paraId="0F4C0C6B" w14:textId="77777777" w:rsidR="00840AA8" w:rsidRPr="00284463" w:rsidRDefault="00840AA8" w:rsidP="00840AA8">
      <w:pPr>
        <w:jc w:val="both"/>
        <w:rPr>
          <w:color w:val="000000"/>
          <w:lang w:val="cs-CZ"/>
        </w:rPr>
      </w:pPr>
    </w:p>
    <w:p w14:paraId="04AFA059" w14:textId="685B3D50" w:rsidR="00840AA8" w:rsidRPr="00284463" w:rsidRDefault="00840AA8" w:rsidP="00840AA8">
      <w:pPr>
        <w:jc w:val="both"/>
        <w:rPr>
          <w:color w:val="000000"/>
          <w:lang w:val="cs-CZ"/>
        </w:rPr>
      </w:pPr>
      <w:r w:rsidRPr="00284463">
        <w:rPr>
          <w:color w:val="000000"/>
          <w:lang w:val="cs-CZ"/>
        </w:rPr>
        <w:t>Koordinace většiny z těchto problematik s problematikou prevence kriminality probíhá zejména prostřednictvím Republikového výboru pro prevenci kriminality.</w:t>
      </w:r>
    </w:p>
    <w:p w14:paraId="640ACA36" w14:textId="77777777" w:rsidR="0002464B" w:rsidRPr="00284463" w:rsidRDefault="0002464B" w:rsidP="00946EBF">
      <w:pPr>
        <w:rPr>
          <w:lang w:val="cs-CZ"/>
        </w:rPr>
      </w:pPr>
    </w:p>
    <w:p w14:paraId="0CFC5C3A" w14:textId="6B905B59" w:rsidR="00170207" w:rsidRPr="00284463" w:rsidRDefault="00D51FA0" w:rsidP="005B4495">
      <w:pPr>
        <w:pStyle w:val="Nadpis1"/>
        <w:numPr>
          <w:ilvl w:val="0"/>
          <w:numId w:val="9"/>
        </w:numPr>
        <w:pBdr>
          <w:top w:val="single" w:sz="4" w:space="1" w:color="4F81BD"/>
          <w:left w:val="single" w:sz="4" w:space="4" w:color="4F81BD"/>
          <w:bottom w:val="single" w:sz="4" w:space="1" w:color="4F81BD"/>
          <w:right w:val="single" w:sz="4" w:space="4" w:color="4F81BD"/>
          <w:between w:val="single" w:sz="4" w:space="1" w:color="4F81BD"/>
          <w:bar w:val="single" w:sz="4" w:color="4F81BD"/>
        </w:pBdr>
        <w:rPr>
          <w:rFonts w:ascii="Times New Roman" w:hAnsi="Times New Roman"/>
          <w:color w:val="2F5496" w:themeColor="accent1" w:themeShade="BF"/>
          <w:sz w:val="28"/>
          <w:szCs w:val="28"/>
          <w:lang w:val="cs-CZ"/>
        </w:rPr>
      </w:pPr>
      <w:bookmarkStart w:id="44" w:name="_Toc8495772"/>
      <w:r w:rsidRPr="00284463">
        <w:rPr>
          <w:rFonts w:ascii="Times New Roman" w:hAnsi="Times New Roman"/>
          <w:color w:val="2F5496" w:themeColor="accent1" w:themeShade="BF"/>
          <w:sz w:val="24"/>
          <w:szCs w:val="24"/>
          <w:lang w:val="cs-CZ"/>
        </w:rPr>
        <w:br w:type="page"/>
      </w:r>
      <w:bookmarkStart w:id="45" w:name="_Toc39673353"/>
      <w:r w:rsidR="00052CA2" w:rsidRPr="00284463">
        <w:rPr>
          <w:rFonts w:ascii="Times New Roman" w:hAnsi="Times New Roman"/>
          <w:color w:val="2F5496" w:themeColor="accent1" w:themeShade="BF"/>
          <w:sz w:val="28"/>
          <w:szCs w:val="28"/>
          <w:lang w:val="cs-CZ"/>
        </w:rPr>
        <w:lastRenderedPageBreak/>
        <w:t>Institucionální zabezpečení r</w:t>
      </w:r>
      <w:r w:rsidR="00506043" w:rsidRPr="00284463">
        <w:rPr>
          <w:rFonts w:ascii="Times New Roman" w:hAnsi="Times New Roman"/>
          <w:color w:val="2F5496" w:themeColor="accent1" w:themeShade="BF"/>
          <w:sz w:val="28"/>
          <w:szCs w:val="28"/>
          <w:lang w:val="cs-CZ"/>
        </w:rPr>
        <w:t>ovnosti žen a mužů ve vztahu k A</w:t>
      </w:r>
      <w:r w:rsidR="00052CA2" w:rsidRPr="00284463">
        <w:rPr>
          <w:rFonts w:ascii="Times New Roman" w:hAnsi="Times New Roman"/>
          <w:color w:val="2F5496" w:themeColor="accent1" w:themeShade="BF"/>
          <w:sz w:val="28"/>
          <w:szCs w:val="28"/>
          <w:lang w:val="cs-CZ"/>
        </w:rPr>
        <w:t>gendě WPS</w:t>
      </w:r>
      <w:bookmarkEnd w:id="43"/>
      <w:bookmarkEnd w:id="44"/>
      <w:bookmarkEnd w:id="45"/>
      <w:r w:rsidR="00052CA2" w:rsidRPr="00284463">
        <w:rPr>
          <w:rFonts w:ascii="Times New Roman" w:hAnsi="Times New Roman"/>
          <w:color w:val="2F5496" w:themeColor="accent1" w:themeShade="BF"/>
          <w:sz w:val="28"/>
          <w:szCs w:val="28"/>
          <w:lang w:val="cs-CZ"/>
        </w:rPr>
        <w:t xml:space="preserve">  </w:t>
      </w:r>
    </w:p>
    <w:p w14:paraId="486AD20B" w14:textId="77777777" w:rsidR="00F51504" w:rsidRPr="00284463" w:rsidRDefault="00F51504" w:rsidP="00946EBF">
      <w:pPr>
        <w:rPr>
          <w:lang w:val="cs-CZ"/>
        </w:rPr>
      </w:pPr>
    </w:p>
    <w:p w14:paraId="4508D9F2" w14:textId="77777777" w:rsidR="00170207" w:rsidRPr="00284463" w:rsidRDefault="00170207" w:rsidP="005B4495">
      <w:pPr>
        <w:pStyle w:val="Nadpis2"/>
        <w:pBdr>
          <w:bottom w:val="single" w:sz="4" w:space="1" w:color="4F81BD"/>
        </w:pBdr>
        <w:rPr>
          <w:rFonts w:ascii="Times New Roman" w:hAnsi="Times New Roman"/>
          <w:i w:val="0"/>
          <w:color w:val="2F5496" w:themeColor="accent1" w:themeShade="BF"/>
          <w:lang w:val="cs-CZ"/>
        </w:rPr>
      </w:pPr>
      <w:bookmarkStart w:id="46" w:name="_Toc39673354"/>
      <w:r w:rsidRPr="00284463">
        <w:rPr>
          <w:rFonts w:ascii="Times New Roman" w:hAnsi="Times New Roman"/>
          <w:i w:val="0"/>
          <w:color w:val="2F5496" w:themeColor="accent1" w:themeShade="BF"/>
          <w:lang w:val="cs-CZ"/>
        </w:rPr>
        <w:t>Úkol č. 23</w:t>
      </w:r>
      <w:bookmarkEnd w:id="46"/>
    </w:p>
    <w:p w14:paraId="7F9DEC9B" w14:textId="77777777" w:rsidR="005C7A09" w:rsidRPr="00284463" w:rsidRDefault="00170207" w:rsidP="009E6013">
      <w:pPr>
        <w:snapToGrid w:val="0"/>
        <w:spacing w:after="120" w:line="276" w:lineRule="auto"/>
        <w:rPr>
          <w:b/>
          <w:bCs/>
          <w:lang w:val="cs-CZ"/>
        </w:rPr>
      </w:pPr>
      <w:r w:rsidRPr="00284463">
        <w:rPr>
          <w:b/>
          <w:bCs/>
          <w:lang w:val="cs-CZ"/>
        </w:rPr>
        <w:t xml:space="preserve">Obecný cíl: Vést dialog o </w:t>
      </w:r>
      <w:r w:rsidR="00A3146D" w:rsidRPr="00284463">
        <w:rPr>
          <w:b/>
          <w:bCs/>
          <w:lang w:val="cs-CZ"/>
        </w:rPr>
        <w:t>A</w:t>
      </w:r>
      <w:r w:rsidRPr="00284463">
        <w:rPr>
          <w:b/>
          <w:bCs/>
          <w:lang w:val="cs-CZ"/>
        </w:rPr>
        <w:t>gendě WPS, informovat veřejnost, výměna zkušeností mezi relevantními subjekty</w:t>
      </w:r>
    </w:p>
    <w:p w14:paraId="688AF263" w14:textId="77777777" w:rsidR="00052CA2" w:rsidRPr="00284463" w:rsidRDefault="00170207" w:rsidP="009E6013">
      <w:pPr>
        <w:snapToGrid w:val="0"/>
        <w:spacing w:after="120" w:line="276" w:lineRule="auto"/>
        <w:rPr>
          <w:lang w:val="cs-CZ"/>
        </w:rPr>
      </w:pPr>
      <w:r w:rsidRPr="00284463">
        <w:rPr>
          <w:lang w:val="cs-CZ"/>
        </w:rPr>
        <w:t>Úkoly:</w:t>
      </w:r>
    </w:p>
    <w:p w14:paraId="3581B860" w14:textId="77777777" w:rsidR="00170207" w:rsidRPr="00284463" w:rsidRDefault="00170207" w:rsidP="009E6013">
      <w:pPr>
        <w:numPr>
          <w:ilvl w:val="0"/>
          <w:numId w:val="5"/>
        </w:numPr>
        <w:snapToGrid w:val="0"/>
        <w:spacing w:after="120" w:line="276" w:lineRule="auto"/>
        <w:rPr>
          <w:lang w:val="cs-CZ"/>
        </w:rPr>
      </w:pPr>
      <w:r w:rsidRPr="00284463">
        <w:rPr>
          <w:lang w:val="cs-CZ"/>
        </w:rPr>
        <w:t>Vytvoření pracovní skupiny k WPS při Radě vlády pro rovnost žen</w:t>
      </w:r>
      <w:r w:rsidR="002B2846" w:rsidRPr="00284463">
        <w:rPr>
          <w:lang w:val="cs-CZ"/>
        </w:rPr>
        <w:t xml:space="preserve"> a mužů</w:t>
      </w:r>
      <w:r w:rsidRPr="00284463">
        <w:rPr>
          <w:lang w:val="cs-CZ"/>
        </w:rPr>
        <w:t xml:space="preserve"> za účasti dotčených vládních i nevládních subjektů, spolupráce s 4 výbory Rady vlády pro rovnost žen</w:t>
      </w:r>
      <w:r w:rsidR="00FA0368" w:rsidRPr="00284463">
        <w:rPr>
          <w:lang w:val="cs-CZ"/>
        </w:rPr>
        <w:t xml:space="preserve"> a mužů</w:t>
      </w:r>
      <w:r w:rsidRPr="00284463">
        <w:rPr>
          <w:lang w:val="cs-CZ"/>
        </w:rPr>
        <w:t>, informování o činnosti pracovní skupiny k</w:t>
      </w:r>
      <w:r w:rsidR="008E78B4" w:rsidRPr="00284463">
        <w:rPr>
          <w:lang w:val="cs-CZ"/>
        </w:rPr>
        <w:t> </w:t>
      </w:r>
      <w:r w:rsidRPr="00284463">
        <w:rPr>
          <w:lang w:val="cs-CZ"/>
        </w:rPr>
        <w:t>WPS</w:t>
      </w:r>
      <w:r w:rsidR="008E78B4" w:rsidRPr="00284463">
        <w:rPr>
          <w:lang w:val="cs-CZ"/>
        </w:rPr>
        <w:t>;</w:t>
      </w:r>
    </w:p>
    <w:p w14:paraId="4C8B10BE" w14:textId="6E468324" w:rsidR="00170207" w:rsidRPr="00284463" w:rsidRDefault="00170207" w:rsidP="009E6013">
      <w:pPr>
        <w:numPr>
          <w:ilvl w:val="0"/>
          <w:numId w:val="5"/>
        </w:numPr>
        <w:snapToGrid w:val="0"/>
        <w:spacing w:after="120" w:line="276" w:lineRule="auto"/>
        <w:rPr>
          <w:lang w:val="cs-CZ"/>
        </w:rPr>
      </w:pPr>
      <w:r w:rsidRPr="00284463">
        <w:rPr>
          <w:lang w:val="cs-CZ"/>
        </w:rPr>
        <w:t>Výměna zkušeností příslušníků armádních a policejních úkolových uskupení a nevládního sektoru</w:t>
      </w:r>
      <w:r w:rsidR="008E78B4" w:rsidRPr="00284463">
        <w:rPr>
          <w:lang w:val="cs-CZ"/>
        </w:rPr>
        <w:t>.</w:t>
      </w:r>
    </w:p>
    <w:p w14:paraId="2EF7FE2F" w14:textId="45E552B6" w:rsidR="009806AA" w:rsidRPr="00284463" w:rsidRDefault="002D72E5" w:rsidP="009806AA">
      <w:pPr>
        <w:snapToGrid w:val="0"/>
        <w:spacing w:after="120"/>
        <w:jc w:val="both"/>
        <w:rPr>
          <w:lang w:val="cs-CZ"/>
        </w:rPr>
      </w:pPr>
      <w:r w:rsidRPr="00284463">
        <w:rPr>
          <w:lang w:val="cs-CZ"/>
        </w:rPr>
        <w:t xml:space="preserve">V průběhu roku 2020 probíhala v rámci setkání </w:t>
      </w:r>
      <w:r w:rsidR="00284463" w:rsidRPr="00284463">
        <w:rPr>
          <w:lang w:val="cs-CZ"/>
        </w:rPr>
        <w:t>mezirezortní</w:t>
      </w:r>
      <w:r w:rsidRPr="00284463">
        <w:rPr>
          <w:lang w:val="cs-CZ"/>
        </w:rPr>
        <w:t xml:space="preserve"> pracovní skupiny k WPS pod vedením MZV příprava </w:t>
      </w:r>
      <w:r w:rsidRPr="00284463">
        <w:rPr>
          <w:i/>
          <w:iCs/>
          <w:lang w:val="cs-CZ"/>
        </w:rPr>
        <w:t>Národního akčního plánu České republiky k implementaci rezoluce Rady bezpečnosti OSN č. 1325 (2000), o ženách, míru a bezpečnosti a souvisejících rezolucí na léta 2021-2025</w:t>
      </w:r>
      <w:r w:rsidRPr="00284463">
        <w:rPr>
          <w:lang w:val="cs-CZ"/>
        </w:rPr>
        <w:t>, a to za účasti Úřadu vlády. MO, MV, MS, nevládního sektoru a zástupců z řad odborné veřejn</w:t>
      </w:r>
      <w:r w:rsidR="009806AA" w:rsidRPr="00284463">
        <w:rPr>
          <w:lang w:val="cs-CZ"/>
        </w:rPr>
        <w:t xml:space="preserve">osti. </w:t>
      </w:r>
    </w:p>
    <w:p w14:paraId="1FFD549B" w14:textId="294BDA0D" w:rsidR="009E6013" w:rsidRPr="00284463" w:rsidRDefault="009806AA" w:rsidP="009806AA">
      <w:pPr>
        <w:snapToGrid w:val="0"/>
        <w:spacing w:after="120"/>
        <w:jc w:val="both"/>
        <w:rPr>
          <w:rFonts w:eastAsia="Times New Roman"/>
          <w:lang w:val="cs-CZ" w:eastAsia="cs-CZ"/>
        </w:rPr>
      </w:pPr>
      <w:r w:rsidRPr="00284463">
        <w:rPr>
          <w:lang w:val="cs-CZ"/>
        </w:rPr>
        <w:t>V tomto novém strategickém dokumentu</w:t>
      </w:r>
      <w:r w:rsidR="009E6013" w:rsidRPr="00284463">
        <w:rPr>
          <w:rFonts w:eastAsia="Times New Roman"/>
          <w:lang w:val="cs-CZ" w:eastAsia="cs-CZ"/>
        </w:rPr>
        <w:t xml:space="preserve"> si Česká republika stanovila čtyři konkrétní cíle, a to (i) posilování participace a vůdčí role žen ve všech oblastech spojených s mírem a bezpečností; (ii) systematické posilování začlenění genderové problematiky do všech oblastí souvisejících s mírem a bezpečností; (iii) aktivní podílení se na prevenci konfliktů prostřednictvím podpory práv žen a genderové rovnosti; (iv) poskytování a podpora adekvátní rozvojové a transformační spolupráce a humanitární pomoci, která směřuje na potřeby žen a dívek. NAP obsahuje rovněž soubory konkrétních opatření, která by měla vést k dosažení těchto strategických cílů. Monitorování pokroku implementace bude provádět mezirezortní pracovní skupina k Agendě WPS a to jednak formou implementační zprávy, která bude každoročně předkládána p</w:t>
      </w:r>
      <w:r w:rsidRPr="00284463">
        <w:rPr>
          <w:rFonts w:eastAsia="Times New Roman"/>
          <w:lang w:val="cs-CZ" w:eastAsia="cs-CZ"/>
        </w:rPr>
        <w:t xml:space="preserve">ro informaci vládě k 31. </w:t>
      </w:r>
      <w:r w:rsidR="00506815" w:rsidRPr="00284463">
        <w:rPr>
          <w:rFonts w:eastAsia="Times New Roman"/>
          <w:lang w:val="cs-CZ" w:eastAsia="cs-CZ"/>
        </w:rPr>
        <w:t>č</w:t>
      </w:r>
      <w:r w:rsidRPr="00284463">
        <w:rPr>
          <w:rFonts w:eastAsia="Times New Roman"/>
          <w:lang w:val="cs-CZ" w:eastAsia="cs-CZ"/>
        </w:rPr>
        <w:t>ervnu,</w:t>
      </w:r>
      <w:r w:rsidR="009E6013" w:rsidRPr="00284463">
        <w:rPr>
          <w:rFonts w:eastAsia="Times New Roman"/>
          <w:lang w:val="cs-CZ" w:eastAsia="cs-CZ"/>
        </w:rPr>
        <w:t xml:space="preserve"> a jednak průběžným vyhodnocováním. </w:t>
      </w:r>
    </w:p>
    <w:p w14:paraId="3F59BDA7" w14:textId="5838C308" w:rsidR="00840AA8" w:rsidRPr="00284463" w:rsidRDefault="00840AA8" w:rsidP="00840AA8">
      <w:pPr>
        <w:jc w:val="both"/>
        <w:rPr>
          <w:lang w:val="cs-CZ"/>
        </w:rPr>
      </w:pPr>
      <w:r w:rsidRPr="00284463">
        <w:rPr>
          <w:lang w:val="cs-CZ"/>
        </w:rPr>
        <w:t xml:space="preserve">Nové úkoly k agendě WPS stanovuje i nově přijatá </w:t>
      </w:r>
      <w:r w:rsidRPr="00284463">
        <w:rPr>
          <w:i/>
          <w:iCs/>
          <w:lang w:val="cs-CZ"/>
        </w:rPr>
        <w:t>Strategie rovnosti žen a mužů na léta 2021-2030</w:t>
      </w:r>
      <w:r w:rsidRPr="00284463">
        <w:rPr>
          <w:lang w:val="cs-CZ"/>
        </w:rPr>
        <w:t xml:space="preserve"> (dále jako „Strategie 2021-2030“),</w:t>
      </w:r>
      <w:r w:rsidRPr="00284463">
        <w:rPr>
          <w:rStyle w:val="Znakapoznpodarou"/>
          <w:lang w:val="cs-CZ"/>
        </w:rPr>
        <w:footnoteReference w:id="8"/>
      </w:r>
      <w:r w:rsidRPr="00284463">
        <w:rPr>
          <w:lang w:val="cs-CZ"/>
        </w:rPr>
        <w:t xml:space="preserve"> která byla schválena usnesením vlády ČR č. 269 ze dne 8. března 2021. Agendu WPS pokrývá především kapitola vnější vztahy, která je tvořena jedním strategickým cílem </w:t>
      </w:r>
      <w:r w:rsidRPr="00284463">
        <w:rPr>
          <w:i/>
          <w:iCs/>
          <w:lang w:val="cs-CZ"/>
        </w:rPr>
        <w:t>Integrování hodnot genderové rovnosti a posílení postavení žen do zahraniční politiky České republiky</w:t>
      </w:r>
      <w:r w:rsidRPr="00284463">
        <w:rPr>
          <w:lang w:val="cs-CZ"/>
        </w:rPr>
        <w:t xml:space="preserve"> rozčleněným na šest specifických cílů. Jedním z těchto specifických cílů je cíl 1.6 </w:t>
      </w:r>
      <w:r w:rsidRPr="00284463">
        <w:rPr>
          <w:i/>
          <w:iCs/>
          <w:lang w:val="cs-CZ"/>
        </w:rPr>
        <w:t>Zajištění implementace Agendy ženy, mír a bezpečnost</w:t>
      </w:r>
      <w:r w:rsidRPr="00284463">
        <w:rPr>
          <w:lang w:val="cs-CZ"/>
        </w:rPr>
        <w:t>, pod který spadají čtyři samostatná opatření:</w:t>
      </w:r>
    </w:p>
    <w:p w14:paraId="70CD878E" w14:textId="77777777" w:rsidR="00840AA8" w:rsidRPr="00284463" w:rsidRDefault="00840AA8" w:rsidP="00840AA8">
      <w:pPr>
        <w:jc w:val="both"/>
        <w:rPr>
          <w:lang w:val="cs-CZ"/>
        </w:rPr>
      </w:pPr>
    </w:p>
    <w:p w14:paraId="17D65543" w14:textId="77777777" w:rsidR="00840AA8" w:rsidRPr="00284463" w:rsidRDefault="00840AA8" w:rsidP="00840AA8">
      <w:pPr>
        <w:ind w:left="708"/>
        <w:jc w:val="both"/>
        <w:rPr>
          <w:lang w:val="cs-CZ"/>
        </w:rPr>
      </w:pPr>
      <w:r w:rsidRPr="00284463">
        <w:rPr>
          <w:lang w:val="cs-CZ"/>
        </w:rPr>
        <w:t>1.6.1 Zajistit provádění Agendy ženy, mír a bezpečnost přijetím navazujících národních akčních plánů</w:t>
      </w:r>
    </w:p>
    <w:p w14:paraId="1491BCCA" w14:textId="77777777" w:rsidR="00840AA8" w:rsidRPr="00284463" w:rsidRDefault="00840AA8" w:rsidP="00840AA8">
      <w:pPr>
        <w:ind w:firstLine="708"/>
        <w:jc w:val="both"/>
        <w:rPr>
          <w:lang w:val="cs-CZ"/>
        </w:rPr>
      </w:pPr>
      <w:r w:rsidRPr="00284463">
        <w:rPr>
          <w:lang w:val="cs-CZ"/>
        </w:rPr>
        <w:t>1.6.2 Zajistit institucionalizaci pracovní skupiny k Agendě ženy, mír a bezpečnost</w:t>
      </w:r>
    </w:p>
    <w:p w14:paraId="360455DE" w14:textId="77777777" w:rsidR="00840AA8" w:rsidRPr="00284463" w:rsidRDefault="00840AA8" w:rsidP="00840AA8">
      <w:pPr>
        <w:ind w:left="708"/>
        <w:jc w:val="both"/>
        <w:rPr>
          <w:lang w:val="cs-CZ"/>
        </w:rPr>
      </w:pPr>
      <w:r w:rsidRPr="00284463">
        <w:rPr>
          <w:lang w:val="cs-CZ"/>
        </w:rPr>
        <w:lastRenderedPageBreak/>
        <w:t>1.6.3 Zvýšit podíl zástupců a zástupkyň NNO a akademického sektoru na celkovém počtu členů a členek pracovní skupiny MZV k Agendě ženy, mír a bezpečnost</w:t>
      </w:r>
    </w:p>
    <w:p w14:paraId="5F5F003C" w14:textId="77777777" w:rsidR="00840AA8" w:rsidRPr="00284463" w:rsidRDefault="00840AA8" w:rsidP="00840AA8">
      <w:pPr>
        <w:ind w:left="708"/>
        <w:jc w:val="both"/>
        <w:rPr>
          <w:lang w:val="cs-CZ"/>
        </w:rPr>
      </w:pPr>
      <w:r w:rsidRPr="00284463">
        <w:rPr>
          <w:lang w:val="cs-CZ"/>
        </w:rPr>
        <w:t>1.6.4 Zabezpečit minimálně dvě setkání mezirezortní pracovní skupiny k Agendě ženy, mír a bezpečnost v každém kalendářním roce</w:t>
      </w:r>
    </w:p>
    <w:p w14:paraId="5A98EECA" w14:textId="77777777" w:rsidR="00840AA8" w:rsidRPr="00284463" w:rsidRDefault="00840AA8" w:rsidP="00840AA8">
      <w:pPr>
        <w:jc w:val="both"/>
        <w:rPr>
          <w:lang w:val="cs-CZ"/>
        </w:rPr>
      </w:pPr>
    </w:p>
    <w:p w14:paraId="380D91ED" w14:textId="77777777" w:rsidR="00840AA8" w:rsidRPr="00284463" w:rsidRDefault="00840AA8" w:rsidP="00840AA8">
      <w:pPr>
        <w:jc w:val="both"/>
        <w:rPr>
          <w:lang w:val="cs-CZ"/>
        </w:rPr>
      </w:pPr>
      <w:r w:rsidRPr="00284463">
        <w:rPr>
          <w:lang w:val="cs-CZ"/>
        </w:rPr>
        <w:t xml:space="preserve">Cílem </w:t>
      </w:r>
      <w:r w:rsidRPr="00284463">
        <w:rPr>
          <w:i/>
          <w:iCs/>
          <w:lang w:val="cs-CZ"/>
        </w:rPr>
        <w:t>Strategie 2021-2030</w:t>
      </w:r>
      <w:r w:rsidRPr="00284463">
        <w:rPr>
          <w:lang w:val="cs-CZ"/>
        </w:rPr>
        <w:t xml:space="preserve"> není stanovení konkrétních obsahových opatření pro agendu WPS, nýbrž nastavení základního rámce, který zajistí aktivní a efektivní prosazování agendy WPS na národní úrovni. </w:t>
      </w:r>
      <w:r w:rsidRPr="00284463">
        <w:rPr>
          <w:i/>
          <w:iCs/>
          <w:lang w:val="cs-CZ"/>
        </w:rPr>
        <w:t>Strategie 2021-2030</w:t>
      </w:r>
      <w:r w:rsidRPr="00284463">
        <w:rPr>
          <w:lang w:val="cs-CZ"/>
        </w:rPr>
        <w:t xml:space="preserve"> tak vychází z předpokladu, že obsahové úkoly a cíle pro agendu WPS budou stanoveny národními akčními plány pro agendu WPS.</w:t>
      </w:r>
    </w:p>
    <w:p w14:paraId="7BA40311" w14:textId="77777777" w:rsidR="00840AA8" w:rsidRPr="00284463" w:rsidRDefault="00840AA8" w:rsidP="00840AA8">
      <w:pPr>
        <w:jc w:val="both"/>
        <w:rPr>
          <w:lang w:val="cs-CZ"/>
        </w:rPr>
      </w:pPr>
    </w:p>
    <w:p w14:paraId="5E169870" w14:textId="77777777" w:rsidR="00840AA8" w:rsidRPr="00284463" w:rsidRDefault="00840AA8" w:rsidP="00840AA8">
      <w:pPr>
        <w:jc w:val="both"/>
        <w:rPr>
          <w:lang w:val="cs-CZ"/>
        </w:rPr>
      </w:pPr>
      <w:r w:rsidRPr="00284463">
        <w:rPr>
          <w:lang w:val="cs-CZ"/>
        </w:rPr>
        <w:t xml:space="preserve">Agenda WPS nebyla v uvedeném kalendářním roce zařazena na program jednání Rady vlády pro rovnost žen a mužů (dále jako „Rada“). </w:t>
      </w:r>
      <w:r w:rsidRPr="00284463">
        <w:rPr>
          <w:i/>
          <w:lang w:val="cs-CZ"/>
        </w:rPr>
        <w:t>Zpráva k Akčnímu plánu České republiky k implementaci rezoluce Rady bezpečnosti OSN č. 1325 (2000), o ženách, míru a bezpečnosti a souvisejících rezolucí na léta 2017-2020 za rok 2019</w:t>
      </w:r>
      <w:r w:rsidRPr="00284463">
        <w:rPr>
          <w:lang w:val="cs-CZ"/>
        </w:rPr>
        <w:t xml:space="preserve"> byla Radou schválena per rollam dne 29. května 2020.</w:t>
      </w:r>
      <w:r w:rsidRPr="00284463">
        <w:rPr>
          <w:rStyle w:val="Znakapoznpodarou"/>
          <w:lang w:val="cs-CZ"/>
        </w:rPr>
        <w:footnoteReference w:id="9"/>
      </w:r>
    </w:p>
    <w:p w14:paraId="23E2E4DE" w14:textId="77777777" w:rsidR="00840AA8" w:rsidRPr="00284463" w:rsidRDefault="00840AA8" w:rsidP="00840AA8">
      <w:pPr>
        <w:jc w:val="both"/>
        <w:rPr>
          <w:lang w:val="cs-CZ"/>
        </w:rPr>
      </w:pPr>
    </w:p>
    <w:p w14:paraId="5272ECDE" w14:textId="21A447F2" w:rsidR="00840AA8" w:rsidRPr="00284463" w:rsidRDefault="00840AA8" w:rsidP="00840AA8">
      <w:pPr>
        <w:jc w:val="both"/>
        <w:rPr>
          <w:lang w:val="cs-CZ"/>
        </w:rPr>
      </w:pPr>
      <w:r w:rsidRPr="00284463">
        <w:rPr>
          <w:lang w:val="cs-CZ"/>
        </w:rPr>
        <w:t>V dotačním řízení pro rok 2020 v rámci dotačního programu Úřadu vlády ČR</w:t>
      </w:r>
      <w:r w:rsidRPr="00284463">
        <w:rPr>
          <w:rStyle w:val="Siln"/>
          <w:color w:val="000000"/>
          <w:shd w:val="clear" w:color="auto" w:fill="FFFFFF"/>
          <w:lang w:val="cs-CZ"/>
        </w:rPr>
        <w:t xml:space="preserve"> </w:t>
      </w:r>
      <w:r w:rsidRPr="00284463">
        <w:rPr>
          <w:rStyle w:val="Siln"/>
          <w:i/>
          <w:color w:val="000000"/>
          <w:shd w:val="clear" w:color="auto" w:fill="FFFFFF"/>
          <w:lang w:val="cs-CZ"/>
        </w:rPr>
        <w:t>Podpora veřejně prospěšných aktivit nestátních neziskových organizací v oblasti rovnosti žen a mužů</w:t>
      </w:r>
      <w:r w:rsidRPr="00284463">
        <w:rPr>
          <w:rStyle w:val="Siln"/>
          <w:color w:val="000000"/>
          <w:shd w:val="clear" w:color="auto" w:fill="FFFFFF"/>
          <w:lang w:val="cs-CZ"/>
        </w:rPr>
        <w:t xml:space="preserve"> byly bodově zvýhodněny projekty, které se zaměřovaly </w:t>
      </w:r>
      <w:r w:rsidRPr="00284463">
        <w:rPr>
          <w:color w:val="000000"/>
          <w:shd w:val="clear" w:color="auto" w:fill="FFFFFF"/>
          <w:lang w:val="cs-CZ"/>
        </w:rPr>
        <w:t xml:space="preserve">na prosazování témat pokrytých </w:t>
      </w:r>
      <w:r w:rsidRPr="00284463">
        <w:rPr>
          <w:i/>
          <w:color w:val="000000"/>
          <w:shd w:val="clear" w:color="auto" w:fill="FFFFFF"/>
          <w:lang w:val="cs-CZ"/>
        </w:rPr>
        <w:t>Akčním plánem České republiky k implementaci rezoluce Rady bezpečnosti OSN č. 1325 (2000), o ženách, míru a bezpečnosti a souvisejících rezolucí na léta 2017 – 2020</w:t>
      </w:r>
      <w:r w:rsidRPr="00284463">
        <w:rPr>
          <w:color w:val="000000"/>
          <w:shd w:val="clear" w:color="auto" w:fill="FFFFFF"/>
          <w:lang w:val="cs-CZ"/>
        </w:rPr>
        <w:t>.</w:t>
      </w:r>
      <w:r w:rsidRPr="00284463">
        <w:rPr>
          <w:rStyle w:val="Znakapoznpodarou"/>
          <w:color w:val="000000"/>
          <w:shd w:val="clear" w:color="auto" w:fill="FFFFFF"/>
          <w:lang w:val="cs-CZ"/>
        </w:rPr>
        <w:footnoteReference w:id="10"/>
      </w:r>
      <w:r w:rsidRPr="00284463">
        <w:rPr>
          <w:color w:val="000000"/>
          <w:shd w:val="clear" w:color="auto" w:fill="FFFFFF"/>
          <w:lang w:val="cs-CZ"/>
        </w:rPr>
        <w:t xml:space="preserve"> Mezi podpořenými projekty byl i projekt Asociace pro mezinárodní otázky, z. s. s názvem </w:t>
      </w:r>
      <w:r w:rsidRPr="00284463">
        <w:rPr>
          <w:i/>
          <w:iCs/>
          <w:color w:val="000000"/>
          <w:shd w:val="clear" w:color="auto" w:fill="FFFFFF"/>
          <w:lang w:val="cs-CZ"/>
        </w:rPr>
        <w:t>Podpora prosazování rovnosti žen a mužů ve vnějších vztazích</w:t>
      </w:r>
      <w:r w:rsidRPr="00284463">
        <w:rPr>
          <w:color w:val="000000"/>
          <w:shd w:val="clear" w:color="auto" w:fill="FFFFFF"/>
          <w:lang w:val="cs-CZ"/>
        </w:rPr>
        <w:t xml:space="preserve">, v jehož rámci proběhla mj. výzkumná studie o ženách v české zahraniční politice, pro jejíž </w:t>
      </w:r>
      <w:r w:rsidR="00284463" w:rsidRPr="00284463">
        <w:rPr>
          <w:color w:val="000000"/>
          <w:shd w:val="clear" w:color="auto" w:fill="FFFFFF"/>
          <w:lang w:val="cs-CZ"/>
        </w:rPr>
        <w:t>realizaci bylo</w:t>
      </w:r>
      <w:r w:rsidRPr="00284463">
        <w:rPr>
          <w:color w:val="000000"/>
          <w:shd w:val="clear" w:color="auto" w:fill="FFFFFF"/>
          <w:lang w:val="cs-CZ"/>
        </w:rPr>
        <w:t xml:space="preserve"> uskutečněno dotazníkové šetření mezi 198 ženami aktivními v různých oblastech české zahraniční politiky a 10 polostrukturovaných rozhovorů.</w:t>
      </w:r>
      <w:r w:rsidRPr="00284463">
        <w:rPr>
          <w:rStyle w:val="Znakapoznpodarou"/>
          <w:color w:val="000000"/>
          <w:shd w:val="clear" w:color="auto" w:fill="FFFFFF"/>
          <w:lang w:val="cs-CZ"/>
        </w:rPr>
        <w:footnoteReference w:id="11"/>
      </w:r>
      <w:r w:rsidRPr="00284463">
        <w:rPr>
          <w:color w:val="000000"/>
          <w:shd w:val="clear" w:color="auto" w:fill="FFFFFF"/>
          <w:lang w:val="cs-CZ"/>
        </w:rPr>
        <w:t xml:space="preserve"> Dalším z výstupů projektu byla networkingová setkání, jejichž tématy byly například „</w:t>
      </w:r>
      <w:r w:rsidRPr="00284463">
        <w:rPr>
          <w:lang w:val="cs-CZ"/>
        </w:rPr>
        <w:t>Ženy a evropská politika,“ „Ženy a bezpečnostní a obranná politika</w:t>
      </w:r>
      <w:r w:rsidRPr="00284463">
        <w:rPr>
          <w:color w:val="000000"/>
          <w:shd w:val="clear" w:color="auto" w:fill="FFFFFF"/>
          <w:lang w:val="cs-CZ"/>
        </w:rPr>
        <w:t>“ nebo „</w:t>
      </w:r>
      <w:r w:rsidRPr="00284463">
        <w:rPr>
          <w:lang w:val="cs-CZ"/>
        </w:rPr>
        <w:t>Ženy a rozvojová politika a lidská práva.“</w:t>
      </w:r>
    </w:p>
    <w:p w14:paraId="3CAB9EDC" w14:textId="7A5FE39D" w:rsidR="00840AA8" w:rsidRPr="00284463" w:rsidRDefault="00840AA8" w:rsidP="00840AA8">
      <w:pPr>
        <w:spacing w:before="120"/>
        <w:jc w:val="both"/>
        <w:rPr>
          <w:color w:val="FF0000"/>
          <w:lang w:val="cs-CZ"/>
        </w:rPr>
      </w:pPr>
      <w:r w:rsidRPr="00284463">
        <w:rPr>
          <w:lang w:val="cs-CZ"/>
        </w:rPr>
        <w:t>Směrem k veřejnosti cílí „Akční plán rezortu MO k implementaci rezoluce Rady bezpečnosti OSN 1325, o ženách, míru a bezpečnosti“, ve kterém je deklarovaná snaha rezortu MO plnit závazky této rezoluce a informovat širší odbornou veřejnost a zájmové organizace o přijatých opatřeních k naplňování principů rezoluce, který zpřístupněna n</w:t>
      </w:r>
      <w:r w:rsidRPr="00284463">
        <w:rPr>
          <w:bCs/>
          <w:lang w:val="cs-CZ"/>
        </w:rPr>
        <w:t>a webu</w:t>
      </w:r>
      <w:r w:rsidRPr="00284463">
        <w:rPr>
          <w:lang w:val="cs-CZ"/>
        </w:rPr>
        <w:t xml:space="preserve"> </w:t>
      </w:r>
      <w:hyperlink r:id="rId27" w:history="1">
        <w:r w:rsidRPr="00284463">
          <w:rPr>
            <w:rStyle w:val="Hypertextovodkaz"/>
            <w:i/>
            <w:lang w:val="cs-CZ"/>
          </w:rPr>
          <w:t>http://www.army.cz/informacni-servis/povinne-informace/1-rovne-prilezitosti/rovne-prilezitosti-muzu-a-zen-54018/</w:t>
        </w:r>
      </w:hyperlink>
      <w:r w:rsidRPr="00284463">
        <w:rPr>
          <w:rStyle w:val="Hypertextovodkaz"/>
          <w:i/>
          <w:color w:val="000000"/>
          <w:lang w:val="cs-CZ"/>
        </w:rPr>
        <w:t>)</w:t>
      </w:r>
      <w:r w:rsidRPr="00284463">
        <w:rPr>
          <w:lang w:val="cs-CZ"/>
        </w:rPr>
        <w:t>.</w:t>
      </w:r>
      <w:r w:rsidRPr="00284463">
        <w:rPr>
          <w:color w:val="FF0000"/>
          <w:lang w:val="cs-CZ"/>
        </w:rPr>
        <w:t xml:space="preserve"> </w:t>
      </w:r>
      <w:r w:rsidRPr="00284463">
        <w:rPr>
          <w:lang w:val="cs-CZ"/>
        </w:rPr>
        <w:t xml:space="preserve">S ohledem na agendu WPS pokračovala spolupráce vybraných zástupkyň rezortu MO s Odborem Spojených národů Ministerstva zahraničních věcí ČR zaměřená na agendu WPS. </w:t>
      </w:r>
    </w:p>
    <w:p w14:paraId="1EFA33B8" w14:textId="08948BB7" w:rsidR="00840AA8" w:rsidRPr="00284463" w:rsidRDefault="00840AA8" w:rsidP="00840AA8">
      <w:pPr>
        <w:spacing w:before="120"/>
        <w:jc w:val="both"/>
        <w:rPr>
          <w:lang w:val="cs-CZ"/>
        </w:rPr>
      </w:pPr>
      <w:r w:rsidRPr="00284463">
        <w:rPr>
          <w:lang w:val="cs-CZ"/>
        </w:rPr>
        <w:t>Na nevládní sektor se zaměřila rezortní dotační politika. MO vyhlásilo, v rámci „Hlavních oblastí státní dotační politiky vůči NNO pro rok 2020“, výběrové dotační řízení s dotačními programy zaměřenými na spolky blízké vojenskému prostředí. Do těchto dotačních řízení byl v roce 2020 zařazen program „</w:t>
      </w:r>
      <w:r w:rsidRPr="00284463">
        <w:rPr>
          <w:i/>
          <w:lang w:val="cs-CZ"/>
        </w:rPr>
        <w:t>Podpora rovných příležitostí mužů a žen v ozbrojených silách“</w:t>
      </w:r>
      <w:r w:rsidRPr="00284463">
        <w:rPr>
          <w:lang w:val="cs-CZ"/>
        </w:rPr>
        <w:t>.</w:t>
      </w:r>
      <w:r w:rsidRPr="00284463">
        <w:rPr>
          <w:i/>
          <w:lang w:val="cs-CZ"/>
        </w:rPr>
        <w:t xml:space="preserve"> </w:t>
      </w:r>
      <w:r w:rsidRPr="00284463">
        <w:rPr>
          <w:lang w:val="cs-CZ"/>
        </w:rPr>
        <w:t>Žádost podal jeden spolek, jemuž však nebyla dotace udělena z důvodu neslučitelnosti cíle a obsahu projektu s výše zmíněným dotačním programem.</w:t>
      </w:r>
    </w:p>
    <w:p w14:paraId="7F9ECC7E" w14:textId="77777777" w:rsidR="00840AA8" w:rsidRPr="00284463" w:rsidRDefault="00840AA8" w:rsidP="00840AA8">
      <w:pPr>
        <w:pStyle w:val="Zkladntextodsazen"/>
        <w:spacing w:before="120" w:after="0"/>
        <w:ind w:left="0"/>
        <w:jc w:val="both"/>
      </w:pPr>
      <w:r w:rsidRPr="00284463">
        <w:lastRenderedPageBreak/>
        <w:t xml:space="preserve">Další spolupráci zabezpečovala koordinátorka rovnosti žen a mužů v rámci svého členství v poradních orgánech Rady vlády pro rovnost žen a mužů, ve Výboru pro institucionální zabezpečení rovnosti žen a mužů a ve Výboru pro prevenci domácího násilí a násilí na ženách.  </w:t>
      </w:r>
    </w:p>
    <w:p w14:paraId="02D20441" w14:textId="524C2986" w:rsidR="00747E67" w:rsidRPr="00284463" w:rsidRDefault="00747E67" w:rsidP="00D873A1">
      <w:pPr>
        <w:spacing w:before="120" w:line="276" w:lineRule="auto"/>
        <w:jc w:val="both"/>
        <w:rPr>
          <w:lang w:val="cs-CZ"/>
        </w:rPr>
      </w:pPr>
    </w:p>
    <w:p w14:paraId="4BBE475A" w14:textId="77777777" w:rsidR="00170207" w:rsidRPr="00284463" w:rsidRDefault="00170207" w:rsidP="005B4495">
      <w:pPr>
        <w:pStyle w:val="Nadpis2"/>
        <w:pBdr>
          <w:bottom w:val="single" w:sz="4" w:space="1" w:color="4F81BD"/>
        </w:pBdr>
        <w:rPr>
          <w:rFonts w:ascii="Times New Roman" w:hAnsi="Times New Roman"/>
          <w:i w:val="0"/>
          <w:color w:val="2F5496" w:themeColor="accent1" w:themeShade="BF"/>
          <w:lang w:val="cs-CZ"/>
        </w:rPr>
      </w:pPr>
      <w:bookmarkStart w:id="47" w:name="_Toc39673355"/>
      <w:r w:rsidRPr="00284463">
        <w:rPr>
          <w:rFonts w:ascii="Times New Roman" w:hAnsi="Times New Roman"/>
          <w:i w:val="0"/>
          <w:color w:val="2F5496" w:themeColor="accent1" w:themeShade="BF"/>
          <w:lang w:val="cs-CZ"/>
        </w:rPr>
        <w:t>Úkol č. 24</w:t>
      </w:r>
      <w:bookmarkEnd w:id="47"/>
    </w:p>
    <w:p w14:paraId="5DC437C9" w14:textId="77777777" w:rsidR="001045B8" w:rsidRPr="00284463" w:rsidRDefault="00780386" w:rsidP="00853C54">
      <w:pPr>
        <w:snapToGrid w:val="0"/>
        <w:spacing w:after="120" w:line="276" w:lineRule="auto"/>
        <w:jc w:val="both"/>
        <w:rPr>
          <w:b/>
          <w:lang w:val="cs-CZ"/>
        </w:rPr>
      </w:pPr>
      <w:r w:rsidRPr="00284463">
        <w:rPr>
          <w:b/>
          <w:lang w:val="cs-CZ"/>
        </w:rPr>
        <w:t xml:space="preserve">Obecný cíl: </w:t>
      </w:r>
      <w:r w:rsidR="00170207" w:rsidRPr="00284463">
        <w:rPr>
          <w:b/>
          <w:lang w:val="cs-CZ"/>
        </w:rPr>
        <w:t>Uplatňování inkluzivního přístupu při tvorbě a naplňování všech koncepčních dokumentů k problematice WPS</w:t>
      </w:r>
    </w:p>
    <w:p w14:paraId="4B9D1008" w14:textId="77777777" w:rsidR="00780386" w:rsidRPr="00284463" w:rsidRDefault="00780386" w:rsidP="00853C54">
      <w:pPr>
        <w:snapToGrid w:val="0"/>
        <w:spacing w:after="120" w:line="276" w:lineRule="auto"/>
        <w:jc w:val="both"/>
        <w:rPr>
          <w:lang w:val="cs-CZ"/>
        </w:rPr>
      </w:pPr>
      <w:r w:rsidRPr="00284463">
        <w:rPr>
          <w:lang w:val="cs-CZ"/>
        </w:rPr>
        <w:t>Úkol:</w:t>
      </w:r>
    </w:p>
    <w:p w14:paraId="637CDFF7" w14:textId="5C2BCEFA" w:rsidR="00780386" w:rsidRPr="00284463" w:rsidRDefault="00780386" w:rsidP="00853C54">
      <w:pPr>
        <w:numPr>
          <w:ilvl w:val="0"/>
          <w:numId w:val="5"/>
        </w:numPr>
        <w:snapToGrid w:val="0"/>
        <w:spacing w:after="120" w:line="276" w:lineRule="auto"/>
        <w:jc w:val="both"/>
        <w:rPr>
          <w:lang w:val="cs-CZ"/>
        </w:rPr>
      </w:pPr>
      <w:r w:rsidRPr="00284463">
        <w:rPr>
          <w:lang w:val="cs-CZ"/>
        </w:rPr>
        <w:t>Všechny koncepční dokumenty k </w:t>
      </w:r>
      <w:r w:rsidR="00BF1A3F" w:rsidRPr="00284463">
        <w:rPr>
          <w:lang w:val="cs-CZ"/>
        </w:rPr>
        <w:t xml:space="preserve">Agendě </w:t>
      </w:r>
      <w:r w:rsidRPr="00284463">
        <w:rPr>
          <w:lang w:val="cs-CZ"/>
        </w:rPr>
        <w:t>WPS jsou konzultovány s NNO, akademickou obcí, sociálními partnery a dalšími zainteresovanými subjekty</w:t>
      </w:r>
      <w:r w:rsidR="00853C54" w:rsidRPr="00284463">
        <w:rPr>
          <w:lang w:val="cs-CZ"/>
        </w:rPr>
        <w:t>.</w:t>
      </w:r>
    </w:p>
    <w:p w14:paraId="17B036B2" w14:textId="77777777" w:rsidR="00853B6D" w:rsidRPr="00284463" w:rsidRDefault="00853B6D" w:rsidP="00853B6D">
      <w:pPr>
        <w:snapToGrid w:val="0"/>
        <w:spacing w:after="120" w:line="276" w:lineRule="auto"/>
        <w:ind w:left="720"/>
        <w:jc w:val="both"/>
        <w:rPr>
          <w:lang w:val="cs-CZ"/>
        </w:rPr>
      </w:pPr>
    </w:p>
    <w:p w14:paraId="5562B3FF" w14:textId="79325636" w:rsidR="00C1413D" w:rsidRPr="00284463" w:rsidRDefault="00C1413D" w:rsidP="00506815">
      <w:pPr>
        <w:jc w:val="both"/>
        <w:rPr>
          <w:rFonts w:eastAsia="Times New Roman"/>
          <w:color w:val="000000"/>
          <w:lang w:val="cs-CZ" w:eastAsia="cs-CZ"/>
        </w:rPr>
      </w:pPr>
      <w:r w:rsidRPr="00284463">
        <w:rPr>
          <w:rFonts w:eastAsia="Times New Roman"/>
          <w:color w:val="000000"/>
          <w:lang w:val="cs-CZ" w:eastAsia="cs-CZ"/>
        </w:rPr>
        <w:t>V roce 2020 uskutečnil ÚMV mezinárodní genderovou konferenci Towards a Meaningful Change: Gendered Foreig</w:t>
      </w:r>
      <w:r w:rsidR="00284463">
        <w:rPr>
          <w:rFonts w:eastAsia="Times New Roman"/>
          <w:color w:val="000000"/>
          <w:lang w:val="cs-CZ" w:eastAsia="cs-CZ"/>
        </w:rPr>
        <w:t>n Policy in Practice. Konference</w:t>
      </w:r>
      <w:r w:rsidRPr="00284463">
        <w:rPr>
          <w:rFonts w:eastAsia="Times New Roman"/>
          <w:color w:val="000000"/>
          <w:lang w:val="cs-CZ" w:eastAsia="cs-CZ"/>
        </w:rPr>
        <w:t xml:space="preserve"> se kon</w:t>
      </w:r>
      <w:r w:rsidR="00284463">
        <w:rPr>
          <w:rFonts w:eastAsia="Times New Roman"/>
          <w:color w:val="000000"/>
          <w:lang w:val="cs-CZ" w:eastAsia="cs-CZ"/>
        </w:rPr>
        <w:t>ala pod záštit</w:t>
      </w:r>
      <w:r w:rsidRPr="00284463">
        <w:rPr>
          <w:rFonts w:eastAsia="Times New Roman"/>
          <w:color w:val="000000"/>
          <w:lang w:val="cs-CZ" w:eastAsia="cs-CZ"/>
        </w:rPr>
        <w:t>ou i za účasti ministra zahraničních věcí ČR Tomáše Petříčka a dalších zástupkyň ministerstva vystupujících v několika panelech. Konference byla součástí projektu Rovnost žen a mužů v české zahraniční politice a rozvojové spolupráci financovaného z Evropského sociálního fondu. Jeden z panelů konference Advancing the Women, Peace and Security Agenda připomněl 20. výročí rezoluce RB OSN 1325. Konal se za účasti zástupkyň diplomacie (Kanada), občanské společnosti z Velké Británie, Německa a Ukrajiny i mezinárodní bezpečnostní organizace OBSE. Panel se zaměřil na implementaci WPS agendy, na konkrétní kroky zahraniční politiky a zdůraznil posílení dlouhodobé prevence konfliktu i naplňování WPS na domácí půdě</w:t>
      </w:r>
      <w:r w:rsidRPr="00284463">
        <w:rPr>
          <w:rStyle w:val="Znakapoznpodarou"/>
          <w:rFonts w:eastAsia="Times New Roman"/>
          <w:color w:val="000000"/>
          <w:lang w:val="cs-CZ" w:eastAsia="cs-CZ"/>
        </w:rPr>
        <w:footnoteReference w:id="12"/>
      </w:r>
      <w:r w:rsidRPr="00284463">
        <w:rPr>
          <w:rFonts w:eastAsia="Times New Roman"/>
          <w:color w:val="000000"/>
          <w:lang w:val="cs-CZ" w:eastAsia="cs-CZ"/>
        </w:rPr>
        <w:t>.</w:t>
      </w:r>
    </w:p>
    <w:p w14:paraId="0CC4A17F" w14:textId="77777777" w:rsidR="00C1413D" w:rsidRPr="00284463" w:rsidRDefault="00C1413D" w:rsidP="00506815">
      <w:pPr>
        <w:jc w:val="both"/>
        <w:rPr>
          <w:rFonts w:eastAsia="Times New Roman"/>
          <w:color w:val="000000"/>
          <w:lang w:val="cs-CZ" w:eastAsia="cs-CZ"/>
        </w:rPr>
      </w:pPr>
    </w:p>
    <w:p w14:paraId="50730651" w14:textId="65D5C7E6" w:rsidR="00C1413D" w:rsidRPr="00284463" w:rsidRDefault="00C1413D" w:rsidP="00506815">
      <w:pPr>
        <w:jc w:val="both"/>
        <w:rPr>
          <w:rFonts w:eastAsia="Times New Roman"/>
          <w:color w:val="000000"/>
          <w:lang w:val="cs-CZ" w:eastAsia="cs-CZ"/>
        </w:rPr>
      </w:pPr>
      <w:r w:rsidRPr="00284463">
        <w:rPr>
          <w:rFonts w:eastAsia="Times New Roman"/>
          <w:color w:val="000000"/>
          <w:lang w:val="cs-CZ" w:eastAsia="cs-CZ"/>
        </w:rPr>
        <w:t>V roce 2020 dále pokračoval rozvoj genderového výzkumu mezinárodních vztahů. Z akademických pracovišť v ČR vzešlo několik publikací tematicky spadajících pod WPS agendu. Jedná se o článek The Forgotten Lives: Connecting Gender, Security, and Everyday Livelihoods in Ukraine's Conflict, publikován v časopisu Cambridge University Press Politics &amp; Gender, jehož autorkou je Míla O’Sullivan a článek Kateřiny Krulišové a Šárky Kolmašové Vulnerable women and barbaric rapists: legitimisation of UN interventionism in Mali, publikován v časopise African Security Review.</w:t>
      </w:r>
    </w:p>
    <w:p w14:paraId="66170D8A" w14:textId="626D970F" w:rsidR="00780386" w:rsidRPr="00284463" w:rsidRDefault="00780386" w:rsidP="00C1413D">
      <w:pPr>
        <w:pStyle w:val="Normlnweb"/>
        <w:snapToGrid w:val="0"/>
        <w:spacing w:before="120" w:beforeAutospacing="0" w:after="120" w:afterAutospacing="0" w:line="276" w:lineRule="auto"/>
        <w:ind w:right="-29"/>
        <w:jc w:val="both"/>
        <w:rPr>
          <w:color w:val="000000"/>
          <w:lang w:val="cs-CZ"/>
        </w:rPr>
      </w:pPr>
    </w:p>
    <w:p w14:paraId="1D6F45C5" w14:textId="77777777" w:rsidR="00780386" w:rsidRPr="00284463" w:rsidRDefault="00780386" w:rsidP="005B4495">
      <w:pPr>
        <w:pStyle w:val="Nadpis2"/>
        <w:pBdr>
          <w:bottom w:val="single" w:sz="4" w:space="1" w:color="4F81BD"/>
        </w:pBdr>
        <w:rPr>
          <w:rFonts w:ascii="Times New Roman" w:hAnsi="Times New Roman"/>
          <w:i w:val="0"/>
          <w:color w:val="2F5496" w:themeColor="accent1" w:themeShade="BF"/>
          <w:lang w:val="cs-CZ"/>
        </w:rPr>
      </w:pPr>
      <w:bookmarkStart w:id="48" w:name="_Toc39673356"/>
      <w:r w:rsidRPr="00284463">
        <w:rPr>
          <w:rFonts w:ascii="Times New Roman" w:hAnsi="Times New Roman"/>
          <w:i w:val="0"/>
          <w:color w:val="2F5496" w:themeColor="accent1" w:themeShade="BF"/>
          <w:lang w:val="cs-CZ"/>
        </w:rPr>
        <w:t>Úkol č. 25</w:t>
      </w:r>
      <w:bookmarkEnd w:id="48"/>
    </w:p>
    <w:p w14:paraId="50D459DA" w14:textId="77777777" w:rsidR="00052CA2" w:rsidRPr="00284463" w:rsidRDefault="00780386" w:rsidP="00853C54">
      <w:pPr>
        <w:snapToGrid w:val="0"/>
        <w:spacing w:after="120" w:line="276" w:lineRule="auto"/>
        <w:jc w:val="both"/>
        <w:rPr>
          <w:b/>
          <w:lang w:val="cs-CZ"/>
        </w:rPr>
      </w:pPr>
      <w:r w:rsidRPr="00284463">
        <w:rPr>
          <w:b/>
          <w:lang w:val="cs-CZ"/>
        </w:rPr>
        <w:t>Obecný cíl: Zefektivnit systém sběru statistických dat členěných dle pohlaví ve vztahu k </w:t>
      </w:r>
      <w:r w:rsidR="00BF1A3F" w:rsidRPr="00284463">
        <w:rPr>
          <w:b/>
          <w:lang w:val="cs-CZ"/>
        </w:rPr>
        <w:t>A</w:t>
      </w:r>
      <w:r w:rsidRPr="00284463">
        <w:rPr>
          <w:b/>
          <w:lang w:val="cs-CZ"/>
        </w:rPr>
        <w:t>gendě WPS</w:t>
      </w:r>
    </w:p>
    <w:p w14:paraId="7D87DE60" w14:textId="77777777" w:rsidR="00780386" w:rsidRPr="00284463" w:rsidRDefault="00780386" w:rsidP="00853C54">
      <w:pPr>
        <w:snapToGrid w:val="0"/>
        <w:spacing w:after="120" w:line="276" w:lineRule="auto"/>
        <w:jc w:val="both"/>
        <w:rPr>
          <w:lang w:val="cs-CZ"/>
        </w:rPr>
      </w:pPr>
      <w:r w:rsidRPr="00284463">
        <w:rPr>
          <w:lang w:val="cs-CZ"/>
        </w:rPr>
        <w:t>Úkoly:</w:t>
      </w:r>
    </w:p>
    <w:p w14:paraId="606B1570" w14:textId="77777777" w:rsidR="00780386" w:rsidRPr="00284463" w:rsidRDefault="00780386" w:rsidP="00853C54">
      <w:pPr>
        <w:numPr>
          <w:ilvl w:val="0"/>
          <w:numId w:val="5"/>
        </w:numPr>
        <w:snapToGrid w:val="0"/>
        <w:spacing w:after="120" w:line="276" w:lineRule="auto"/>
        <w:jc w:val="both"/>
        <w:rPr>
          <w:lang w:val="cs-CZ"/>
        </w:rPr>
      </w:pPr>
      <w:r w:rsidRPr="00284463">
        <w:rPr>
          <w:lang w:val="cs-CZ"/>
        </w:rPr>
        <w:t xml:space="preserve">Provádět systematický sběr a využívání statistických dat členěných dle pohlaví jako podklad pro hodnocení a rozhodování o revizi všech politik a pro přípravu strategických dokumentů v oblasti </w:t>
      </w:r>
      <w:r w:rsidR="00BF1A3F" w:rsidRPr="00284463">
        <w:rPr>
          <w:lang w:val="cs-CZ"/>
        </w:rPr>
        <w:t>A</w:t>
      </w:r>
      <w:r w:rsidRPr="00284463">
        <w:rPr>
          <w:lang w:val="cs-CZ"/>
        </w:rPr>
        <w:t>gendy WPS</w:t>
      </w:r>
      <w:r w:rsidR="00853C54" w:rsidRPr="00284463">
        <w:rPr>
          <w:lang w:val="cs-CZ"/>
        </w:rPr>
        <w:t>;</w:t>
      </w:r>
    </w:p>
    <w:p w14:paraId="0722609A" w14:textId="77777777" w:rsidR="00780386" w:rsidRPr="00284463" w:rsidRDefault="00780386" w:rsidP="00853C54">
      <w:pPr>
        <w:numPr>
          <w:ilvl w:val="0"/>
          <w:numId w:val="5"/>
        </w:numPr>
        <w:snapToGrid w:val="0"/>
        <w:spacing w:after="120" w:line="276" w:lineRule="auto"/>
        <w:jc w:val="both"/>
        <w:rPr>
          <w:lang w:val="cs-CZ"/>
        </w:rPr>
      </w:pPr>
      <w:r w:rsidRPr="00284463">
        <w:rPr>
          <w:lang w:val="cs-CZ"/>
        </w:rPr>
        <w:lastRenderedPageBreak/>
        <w:t>Sledovat a pravidelně vyhodnocovat statistické informace o zastoupení žen a mužů na jednotlivých úrovních rozhodovacích pozic ve vztahu k </w:t>
      </w:r>
      <w:r w:rsidR="00BF1A3F" w:rsidRPr="00284463">
        <w:rPr>
          <w:lang w:val="cs-CZ"/>
        </w:rPr>
        <w:t>A</w:t>
      </w:r>
      <w:r w:rsidRPr="00284463">
        <w:rPr>
          <w:lang w:val="cs-CZ"/>
        </w:rPr>
        <w:t>gendě WPS; definovat měřitelné indikátory pro hodnocení pokroku</w:t>
      </w:r>
      <w:r w:rsidR="00853C54" w:rsidRPr="00284463">
        <w:rPr>
          <w:lang w:val="cs-CZ"/>
        </w:rPr>
        <w:t>;</w:t>
      </w:r>
    </w:p>
    <w:p w14:paraId="4CE0B189" w14:textId="77777777" w:rsidR="00780386" w:rsidRPr="00284463" w:rsidRDefault="00780386" w:rsidP="00853C54">
      <w:pPr>
        <w:numPr>
          <w:ilvl w:val="0"/>
          <w:numId w:val="5"/>
        </w:numPr>
        <w:snapToGrid w:val="0"/>
        <w:spacing w:after="120" w:line="276" w:lineRule="auto"/>
        <w:jc w:val="both"/>
        <w:rPr>
          <w:lang w:val="cs-CZ"/>
        </w:rPr>
      </w:pPr>
      <w:r w:rsidRPr="00284463">
        <w:rPr>
          <w:lang w:val="cs-CZ"/>
        </w:rPr>
        <w:t>Sledovat a pravidelně vyhodnocovat statistické informace o účasti žen a mužů v zahraničních misích; definovat měřitelné indikátory pro hodnocení pokroku</w:t>
      </w:r>
      <w:r w:rsidR="00853C54" w:rsidRPr="00284463">
        <w:rPr>
          <w:lang w:val="cs-CZ"/>
        </w:rPr>
        <w:t>;</w:t>
      </w:r>
    </w:p>
    <w:p w14:paraId="6307BA72" w14:textId="77777777" w:rsidR="00780386" w:rsidRPr="00284463" w:rsidRDefault="00780386" w:rsidP="00853C54">
      <w:pPr>
        <w:numPr>
          <w:ilvl w:val="0"/>
          <w:numId w:val="5"/>
        </w:numPr>
        <w:snapToGrid w:val="0"/>
        <w:spacing w:after="120" w:line="276" w:lineRule="auto"/>
        <w:jc w:val="both"/>
        <w:rPr>
          <w:lang w:val="cs-CZ"/>
        </w:rPr>
      </w:pPr>
      <w:r w:rsidRPr="00284463">
        <w:rPr>
          <w:lang w:val="cs-CZ"/>
        </w:rPr>
        <w:t>Sledovat a pravidelně vyhodnocovat statistické informace o zastoupení žen a mužů nominovaných za ČR v mezinárodních organizacích; definovat měřitelné indikátory pro hodnocení pokroku</w:t>
      </w:r>
      <w:r w:rsidR="00853C54" w:rsidRPr="00284463">
        <w:rPr>
          <w:lang w:val="cs-CZ"/>
        </w:rPr>
        <w:t>.</w:t>
      </w:r>
    </w:p>
    <w:p w14:paraId="5C19BC9F" w14:textId="77777777" w:rsidR="00E91588" w:rsidRPr="00284463" w:rsidRDefault="00E91588" w:rsidP="00F81E82">
      <w:pPr>
        <w:spacing w:after="120" w:line="276" w:lineRule="auto"/>
        <w:jc w:val="both"/>
        <w:rPr>
          <w:lang w:val="cs-CZ"/>
        </w:rPr>
      </w:pPr>
    </w:p>
    <w:p w14:paraId="278B76F9" w14:textId="77777777" w:rsidR="00840AA8" w:rsidRPr="00284463" w:rsidRDefault="00840AA8" w:rsidP="00840AA8">
      <w:pPr>
        <w:pStyle w:val="Default"/>
        <w:jc w:val="both"/>
        <w:rPr>
          <w:color w:val="auto"/>
        </w:rPr>
      </w:pPr>
      <w:r w:rsidRPr="00284463">
        <w:rPr>
          <w:color w:val="auto"/>
        </w:rPr>
        <w:t xml:space="preserve">Sběr statistik probíhal stejně jako v předchozích letech. Statistiky k zastoupení žen a mužů v rozhodovacích pozicích za rok 2019 jsou obsaženy v publikaci </w:t>
      </w:r>
      <w:r w:rsidRPr="00284463">
        <w:rPr>
          <w:i/>
          <w:color w:val="auto"/>
        </w:rPr>
        <w:t>Zaostřeno na ženy a muže – 2020,</w:t>
      </w:r>
      <w:r w:rsidRPr="00284463">
        <w:rPr>
          <w:rStyle w:val="Znakapoznpodarou"/>
          <w:color w:val="auto"/>
        </w:rPr>
        <w:footnoteReference w:id="13"/>
      </w:r>
      <w:r w:rsidRPr="00284463">
        <w:rPr>
          <w:color w:val="auto"/>
        </w:rPr>
        <w:t xml:space="preserve"> kterou společně vydávají Úřad vlády ČR a Český statistický úřad.</w:t>
      </w:r>
    </w:p>
    <w:p w14:paraId="2C5FEBE6" w14:textId="77777777" w:rsidR="00840AA8" w:rsidRPr="00284463" w:rsidRDefault="00840AA8" w:rsidP="00840AA8">
      <w:pPr>
        <w:pStyle w:val="Default"/>
        <w:jc w:val="both"/>
        <w:rPr>
          <w:color w:val="auto"/>
        </w:rPr>
      </w:pPr>
    </w:p>
    <w:p w14:paraId="76E9AE4B" w14:textId="77777777" w:rsidR="00840AA8" w:rsidRPr="00284463" w:rsidRDefault="00840AA8" w:rsidP="00840AA8">
      <w:pPr>
        <w:pStyle w:val="Default"/>
        <w:jc w:val="both"/>
        <w:rPr>
          <w:color w:val="auto"/>
        </w:rPr>
      </w:pPr>
      <w:r w:rsidRPr="00284463">
        <w:rPr>
          <w:color w:val="auto"/>
        </w:rPr>
        <w:t xml:space="preserve">K zefektivnění systému sběru statistických dat by měla přispět také </w:t>
      </w:r>
      <w:r w:rsidRPr="00284463">
        <w:rPr>
          <w:i/>
          <w:color w:val="auto"/>
        </w:rPr>
        <w:t>Strategie 2021-2030</w:t>
      </w:r>
      <w:r w:rsidRPr="00284463">
        <w:rPr>
          <w:color w:val="auto"/>
        </w:rPr>
        <w:t xml:space="preserve">, která v rámci kapitoly instituce obsahuje specifický cíl 4.1 </w:t>
      </w:r>
      <w:r w:rsidRPr="00284463">
        <w:rPr>
          <w:i/>
          <w:iCs/>
          <w:color w:val="auto"/>
        </w:rPr>
        <w:t>Zajištění dostupnosti genderově segregovaných dat</w:t>
      </w:r>
      <w:r w:rsidRPr="00284463">
        <w:rPr>
          <w:color w:val="auto"/>
        </w:rPr>
        <w:t xml:space="preserve">. Jedno z opatření stanoveného specifického cíle směřuje k spolupráci s rezorty, včetně rezortů odpovídajících za implementaci agendy WPS, a relevantními platformami za účelem optimalizace sběru, poskytování a zveřejňování dat pro jednotlivé oblasti </w:t>
      </w:r>
      <w:r w:rsidRPr="00284463">
        <w:rPr>
          <w:i/>
          <w:iCs/>
          <w:color w:val="auto"/>
        </w:rPr>
        <w:t>Strategie 2021-2030</w:t>
      </w:r>
      <w:r w:rsidRPr="00284463">
        <w:rPr>
          <w:color w:val="auto"/>
        </w:rPr>
        <w:t xml:space="preserve"> a zajištění jejich dostupnosti. </w:t>
      </w:r>
    </w:p>
    <w:p w14:paraId="62E0CB23" w14:textId="107C9CFF" w:rsidR="0028374E" w:rsidRPr="00284463" w:rsidRDefault="0028374E" w:rsidP="00D873A1">
      <w:pPr>
        <w:spacing w:line="276" w:lineRule="auto"/>
        <w:jc w:val="both"/>
        <w:rPr>
          <w:lang w:val="cs-CZ"/>
        </w:rPr>
      </w:pPr>
    </w:p>
    <w:p w14:paraId="432E17A6" w14:textId="41A253DC" w:rsidR="00840AA8" w:rsidRPr="00284463" w:rsidRDefault="00840AA8" w:rsidP="00840AA8">
      <w:pPr>
        <w:jc w:val="both"/>
        <w:rPr>
          <w:rStyle w:val="Hypertextovodkaz"/>
          <w:color w:val="000000"/>
          <w:u w:val="none"/>
          <w:lang w:val="cs-CZ"/>
        </w:rPr>
      </w:pPr>
      <w:r w:rsidRPr="00284463">
        <w:rPr>
          <w:lang w:val="cs-CZ"/>
        </w:rPr>
        <w:t>Sběr statistických dat týkajících se fyzických osob členěných dle kategorie pohlaví (genderový personální audit) probíhá v rezortu MO již od roku 2002</w:t>
      </w:r>
      <w:r w:rsidRPr="00284463">
        <w:rPr>
          <w:rStyle w:val="Znakapoznpodarou"/>
          <w:lang w:val="cs-CZ"/>
        </w:rPr>
        <w:footnoteReference w:id="14"/>
      </w:r>
      <w:r w:rsidRPr="00284463">
        <w:rPr>
          <w:lang w:val="cs-CZ"/>
        </w:rPr>
        <w:t xml:space="preserve">. Z těchto statistických dat je pravidelně zpracovávána „Kvantitativní genderová analýza/audit“, včetně vývojového srovnání (zveřejněna je </w:t>
      </w:r>
      <w:r w:rsidRPr="00284463">
        <w:rPr>
          <w:color w:val="000000"/>
          <w:lang w:val="cs-CZ"/>
        </w:rPr>
        <w:t xml:space="preserve">na webu </w:t>
      </w:r>
      <w:hyperlink r:id="rId28" w:history="1">
        <w:r w:rsidRPr="00284463">
          <w:rPr>
            <w:rStyle w:val="Hypertextovodkaz"/>
            <w:i/>
            <w:u w:val="none"/>
            <w:lang w:val="cs-CZ"/>
          </w:rPr>
          <w:t>http://www.army.cz/informacni-servis/povinne-informace/1-rovne-prilezitosti/rovne-prilezitosti-muzu-a-zen-54018/</w:t>
        </w:r>
      </w:hyperlink>
      <w:r w:rsidRPr="00284463">
        <w:rPr>
          <w:rStyle w:val="Hypertextovodkaz"/>
          <w:i/>
          <w:color w:val="000000"/>
          <w:u w:val="none"/>
          <w:lang w:val="cs-CZ"/>
        </w:rPr>
        <w:t xml:space="preserve">). </w:t>
      </w:r>
      <w:r w:rsidRPr="00284463">
        <w:rPr>
          <w:rStyle w:val="Hypertextovodkaz"/>
          <w:color w:val="000000"/>
          <w:u w:val="none"/>
          <w:lang w:val="cs-CZ"/>
        </w:rPr>
        <w:t xml:space="preserve">Od roku 2018 je rozšířena o data týkající se žen a mužů v aktivní záloze, počty žen a mužů účastníků dobrovolných cvičení a počty žen a mužů válečných veteránů.  </w:t>
      </w:r>
    </w:p>
    <w:p w14:paraId="0B77F8EA" w14:textId="1495821A" w:rsidR="00840AA8" w:rsidRPr="00284463" w:rsidRDefault="00840AA8" w:rsidP="00840AA8">
      <w:pPr>
        <w:jc w:val="both"/>
        <w:rPr>
          <w:rStyle w:val="Hypertextovodkaz"/>
          <w:color w:val="000000"/>
          <w:u w:val="none"/>
          <w:lang w:val="cs-CZ"/>
        </w:rPr>
      </w:pPr>
    </w:p>
    <w:p w14:paraId="311CD431" w14:textId="77777777" w:rsidR="00840AA8" w:rsidRPr="00284463" w:rsidRDefault="00840AA8" w:rsidP="00840AA8">
      <w:pPr>
        <w:jc w:val="both"/>
        <w:rPr>
          <w:color w:val="000000"/>
          <w:lang w:val="cs-CZ"/>
        </w:rPr>
      </w:pPr>
      <w:r w:rsidRPr="00284463">
        <w:rPr>
          <w:color w:val="000000"/>
          <w:lang w:val="cs-CZ"/>
        </w:rPr>
        <w:t xml:space="preserve">Jak již bylo výše uvedeno, v oblasti vysílání expertů a expertek záleží na samotném úřadu EASO, kdo z navržených expertů a expertek bude vybrán a bude se angažovat v rámci plnění operačních plánů úřadu. Na straně samotného úřadu EASO významným způsobem ovlivňuje výběr z navržených expertů a expertek skutečnost, že úřad od roku 2019 omezuje své aktivity v jedné z dříve klíčových zemí svého působení, konkrétně v Itálii. Těžiště angažmá úřadu EASO v Itálii se již v roce 2019 přesunulo do oblasti strukturální podpory relevantních italských úřadů. V důsledku těchto změn úřad EASO dával přednost výběru navržených expertů a expertek se seniorním profilem a dřívějšími zkušenostmi z působení v Itálii. V Řecku se úřad EASO též již od roku 2019 soustřeďuje na podporu azylového řízení, které je podle nové řecké azylové legislativy nutné zpracovávat v řeckém jazyce. V důsledku těchto změn je nyní v případě národních expertů a expertek, kteří by měli působit v Řecku, </w:t>
      </w:r>
      <w:r w:rsidRPr="00284463">
        <w:rPr>
          <w:color w:val="000000"/>
          <w:lang w:val="cs-CZ"/>
        </w:rPr>
        <w:lastRenderedPageBreak/>
        <w:t xml:space="preserve">vyžadována znalost řečtiny. Potřeba vyslání národních expertů a expertek se tak již od roku 2019 významným způsobem redukovala. </w:t>
      </w:r>
    </w:p>
    <w:p w14:paraId="4C7E4DD4" w14:textId="77777777" w:rsidR="00840AA8" w:rsidRPr="00284463" w:rsidRDefault="00840AA8" w:rsidP="00840AA8">
      <w:pPr>
        <w:jc w:val="both"/>
        <w:rPr>
          <w:color w:val="000000"/>
          <w:lang w:val="cs-CZ"/>
        </w:rPr>
      </w:pPr>
    </w:p>
    <w:p w14:paraId="3A051EDD" w14:textId="1EDE2D58" w:rsidR="00840AA8" w:rsidRPr="00284463" w:rsidRDefault="00840AA8" w:rsidP="00840AA8">
      <w:pPr>
        <w:jc w:val="both"/>
        <w:rPr>
          <w:color w:val="000000"/>
          <w:lang w:val="cs-CZ"/>
        </w:rPr>
      </w:pPr>
      <w:r w:rsidRPr="00284463">
        <w:rPr>
          <w:color w:val="000000"/>
          <w:lang w:val="cs-CZ"/>
        </w:rPr>
        <w:t>V roce 2020 byla agenda spolupráce s úřadem EASO v oblasti vysílání národních expertů a realizace mezinárodních školení negativně ovlivněna trvající pandemií Covid-19. Restriktivní opatření v oblasti cestování a omezení možností setkávání osob zásadním způsobem utlumila plánované aktivity jak v rámci vysílání národních expertů a expertek, tak v oblasti realizace školících aktivit v roce 2020.</w:t>
      </w:r>
    </w:p>
    <w:p w14:paraId="6F9F0D3D" w14:textId="77777777" w:rsidR="00840AA8" w:rsidRPr="00284463" w:rsidRDefault="00840AA8" w:rsidP="00840AA8">
      <w:pPr>
        <w:jc w:val="both"/>
        <w:rPr>
          <w:color w:val="000000"/>
          <w:lang w:val="cs-CZ"/>
        </w:rPr>
      </w:pPr>
    </w:p>
    <w:p w14:paraId="717DCD90" w14:textId="7C875A45" w:rsidR="00840AA8" w:rsidRPr="00284463" w:rsidRDefault="00840AA8" w:rsidP="00840AA8">
      <w:pPr>
        <w:jc w:val="both"/>
        <w:rPr>
          <w:color w:val="000000"/>
          <w:lang w:val="cs-CZ"/>
        </w:rPr>
      </w:pPr>
      <w:r w:rsidRPr="00284463">
        <w:rPr>
          <w:color w:val="000000"/>
          <w:lang w:val="cs-CZ"/>
        </w:rPr>
        <w:t>Agenda vysílání národních expertů a expertek do úřadu EASO je průběžně statisticky zpracovávána. V rámci jejího statistického zpracování hraje genderová segregace dat důležitou roli. Přehled genderového profilu vyslaných národních expertů a expertek do úřadu EASO v letech 2015 až 2019 je uveden níže:</w:t>
      </w:r>
    </w:p>
    <w:p w14:paraId="5360E9AF" w14:textId="77777777" w:rsidR="00840AA8" w:rsidRPr="00284463" w:rsidRDefault="00840AA8" w:rsidP="00840AA8">
      <w:pPr>
        <w:autoSpaceDE w:val="0"/>
        <w:autoSpaceDN w:val="0"/>
        <w:adjustRightInd w:val="0"/>
        <w:ind w:firstLine="708"/>
        <w:jc w:val="both"/>
        <w:rPr>
          <w:b/>
          <w:color w:val="000000"/>
          <w:lang w:val="cs-CZ"/>
        </w:rPr>
      </w:pPr>
    </w:p>
    <w:p w14:paraId="0243FFE2" w14:textId="29B9AE50" w:rsidR="00840AA8" w:rsidRPr="00284463" w:rsidRDefault="00840AA8" w:rsidP="00840AA8">
      <w:pPr>
        <w:autoSpaceDE w:val="0"/>
        <w:autoSpaceDN w:val="0"/>
        <w:adjustRightInd w:val="0"/>
        <w:ind w:firstLine="708"/>
        <w:jc w:val="both"/>
        <w:rPr>
          <w:b/>
          <w:color w:val="000000"/>
          <w:lang w:val="cs-CZ"/>
        </w:rPr>
      </w:pPr>
      <w:r w:rsidRPr="00284463">
        <w:rPr>
          <w:b/>
          <w:color w:val="000000"/>
          <w:lang w:val="cs-CZ"/>
        </w:rPr>
        <w:t>Přehled vyslání národních expertů EASO do Řecka</w:t>
      </w:r>
    </w:p>
    <w:p w14:paraId="05BC2A3E" w14:textId="77777777" w:rsidR="00840AA8" w:rsidRPr="00284463" w:rsidRDefault="00840AA8" w:rsidP="00840AA8">
      <w:pPr>
        <w:autoSpaceDE w:val="0"/>
        <w:autoSpaceDN w:val="0"/>
        <w:adjustRightInd w:val="0"/>
        <w:ind w:firstLine="708"/>
        <w:jc w:val="both"/>
        <w:rPr>
          <w:color w:val="000000"/>
          <w:lang w:val="cs-CZ"/>
        </w:rPr>
      </w:pPr>
    </w:p>
    <w:tbl>
      <w:tblPr>
        <w:tblW w:w="9284" w:type="dxa"/>
        <w:tblCellMar>
          <w:left w:w="70" w:type="dxa"/>
          <w:right w:w="70" w:type="dxa"/>
        </w:tblCellMar>
        <w:tblLook w:val="04A0" w:firstRow="1" w:lastRow="0" w:firstColumn="1" w:lastColumn="0" w:noHBand="0" w:noVBand="1"/>
      </w:tblPr>
      <w:tblGrid>
        <w:gridCol w:w="1380"/>
        <w:gridCol w:w="1320"/>
        <w:gridCol w:w="1300"/>
        <w:gridCol w:w="1300"/>
        <w:gridCol w:w="1340"/>
        <w:gridCol w:w="1368"/>
        <w:gridCol w:w="1276"/>
      </w:tblGrid>
      <w:tr w:rsidR="00840AA8" w:rsidRPr="00284463" w14:paraId="614E310D" w14:textId="77777777" w:rsidTr="00105997">
        <w:trPr>
          <w:trHeight w:val="315"/>
        </w:trPr>
        <w:tc>
          <w:tcPr>
            <w:tcW w:w="1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AD354A" w14:textId="77777777" w:rsidR="00840AA8" w:rsidRPr="00284463" w:rsidRDefault="00840AA8" w:rsidP="00105997">
            <w:pPr>
              <w:jc w:val="both"/>
              <w:rPr>
                <w:color w:val="000000"/>
                <w:lang w:val="cs-CZ"/>
              </w:rPr>
            </w:pPr>
            <w:r w:rsidRPr="00284463">
              <w:rPr>
                <w:color w:val="000000"/>
                <w:lang w:val="cs-CZ"/>
              </w:rPr>
              <w:t>Řecko</w:t>
            </w:r>
          </w:p>
        </w:tc>
        <w:tc>
          <w:tcPr>
            <w:tcW w:w="1320" w:type="dxa"/>
            <w:tcBorders>
              <w:top w:val="single" w:sz="8" w:space="0" w:color="auto"/>
              <w:left w:val="nil"/>
              <w:bottom w:val="single" w:sz="8" w:space="0" w:color="auto"/>
              <w:right w:val="single" w:sz="4" w:space="0" w:color="auto"/>
            </w:tcBorders>
            <w:shd w:val="clear" w:color="auto" w:fill="auto"/>
            <w:noWrap/>
            <w:vAlign w:val="bottom"/>
            <w:hideMark/>
          </w:tcPr>
          <w:p w14:paraId="75E21B28" w14:textId="77777777" w:rsidR="00840AA8" w:rsidRPr="00284463" w:rsidRDefault="00840AA8" w:rsidP="00105997">
            <w:pPr>
              <w:jc w:val="both"/>
              <w:rPr>
                <w:color w:val="000000"/>
                <w:lang w:val="cs-CZ"/>
              </w:rPr>
            </w:pPr>
            <w:r w:rsidRPr="00284463">
              <w:rPr>
                <w:color w:val="000000"/>
                <w:lang w:val="cs-CZ"/>
              </w:rPr>
              <w:t>2015</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7E38C2D4" w14:textId="77777777" w:rsidR="00840AA8" w:rsidRPr="00284463" w:rsidRDefault="00840AA8" w:rsidP="00105997">
            <w:pPr>
              <w:jc w:val="both"/>
              <w:rPr>
                <w:color w:val="000000"/>
                <w:lang w:val="cs-CZ"/>
              </w:rPr>
            </w:pPr>
            <w:r w:rsidRPr="00284463">
              <w:rPr>
                <w:color w:val="000000"/>
                <w:lang w:val="cs-CZ"/>
              </w:rPr>
              <w:t>2016</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629739D2" w14:textId="77777777" w:rsidR="00840AA8" w:rsidRPr="00284463" w:rsidRDefault="00840AA8" w:rsidP="00105997">
            <w:pPr>
              <w:jc w:val="both"/>
              <w:rPr>
                <w:color w:val="000000"/>
                <w:lang w:val="cs-CZ"/>
              </w:rPr>
            </w:pPr>
            <w:r w:rsidRPr="00284463">
              <w:rPr>
                <w:color w:val="000000"/>
                <w:lang w:val="cs-CZ"/>
              </w:rPr>
              <w:t>2017</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5E922267" w14:textId="77777777" w:rsidR="00840AA8" w:rsidRPr="00284463" w:rsidRDefault="00840AA8" w:rsidP="00105997">
            <w:pPr>
              <w:jc w:val="both"/>
              <w:rPr>
                <w:color w:val="000000"/>
                <w:lang w:val="cs-CZ"/>
              </w:rPr>
            </w:pPr>
            <w:r w:rsidRPr="00284463">
              <w:rPr>
                <w:color w:val="000000"/>
                <w:lang w:val="cs-CZ"/>
              </w:rPr>
              <w:t>2018</w:t>
            </w:r>
          </w:p>
        </w:tc>
        <w:tc>
          <w:tcPr>
            <w:tcW w:w="1368" w:type="dxa"/>
            <w:tcBorders>
              <w:top w:val="single" w:sz="8" w:space="0" w:color="auto"/>
              <w:left w:val="nil"/>
              <w:bottom w:val="single" w:sz="8" w:space="0" w:color="auto"/>
              <w:right w:val="nil"/>
            </w:tcBorders>
            <w:shd w:val="clear" w:color="auto" w:fill="auto"/>
            <w:noWrap/>
            <w:vAlign w:val="bottom"/>
            <w:hideMark/>
          </w:tcPr>
          <w:p w14:paraId="273E9F96" w14:textId="77777777" w:rsidR="00840AA8" w:rsidRPr="00284463" w:rsidRDefault="00840AA8" w:rsidP="00105997">
            <w:pPr>
              <w:jc w:val="both"/>
              <w:rPr>
                <w:color w:val="000000"/>
                <w:lang w:val="cs-CZ"/>
              </w:rPr>
            </w:pPr>
            <w:r w:rsidRPr="00284463">
              <w:rPr>
                <w:color w:val="000000"/>
                <w:lang w:val="cs-CZ"/>
              </w:rPr>
              <w:t>2019</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7D12FD" w14:textId="77777777" w:rsidR="00840AA8" w:rsidRPr="00284463" w:rsidRDefault="00840AA8" w:rsidP="00105997">
            <w:pPr>
              <w:jc w:val="both"/>
              <w:rPr>
                <w:color w:val="000000"/>
                <w:lang w:val="cs-CZ"/>
              </w:rPr>
            </w:pPr>
            <w:r w:rsidRPr="00284463">
              <w:rPr>
                <w:color w:val="000000"/>
                <w:lang w:val="cs-CZ"/>
              </w:rPr>
              <w:t>celkem</w:t>
            </w:r>
          </w:p>
        </w:tc>
      </w:tr>
      <w:tr w:rsidR="00840AA8" w:rsidRPr="00284463" w14:paraId="06A7DD9C" w14:textId="77777777" w:rsidTr="00105997">
        <w:trPr>
          <w:trHeight w:val="300"/>
        </w:trPr>
        <w:tc>
          <w:tcPr>
            <w:tcW w:w="1380" w:type="dxa"/>
            <w:tcBorders>
              <w:top w:val="nil"/>
              <w:left w:val="single" w:sz="8" w:space="0" w:color="auto"/>
              <w:bottom w:val="single" w:sz="4" w:space="0" w:color="auto"/>
              <w:right w:val="single" w:sz="8" w:space="0" w:color="auto"/>
            </w:tcBorders>
            <w:shd w:val="clear" w:color="auto" w:fill="auto"/>
            <w:noWrap/>
            <w:vAlign w:val="bottom"/>
            <w:hideMark/>
          </w:tcPr>
          <w:p w14:paraId="0FBCA1F5" w14:textId="77777777" w:rsidR="00840AA8" w:rsidRPr="00284463" w:rsidRDefault="00840AA8" w:rsidP="00105997">
            <w:pPr>
              <w:jc w:val="both"/>
              <w:rPr>
                <w:color w:val="000000"/>
                <w:lang w:val="cs-CZ"/>
              </w:rPr>
            </w:pPr>
            <w:r w:rsidRPr="00284463">
              <w:rPr>
                <w:color w:val="000000"/>
                <w:lang w:val="cs-CZ"/>
              </w:rPr>
              <w:t>Ženy</w:t>
            </w:r>
          </w:p>
        </w:tc>
        <w:tc>
          <w:tcPr>
            <w:tcW w:w="1320" w:type="dxa"/>
            <w:tcBorders>
              <w:top w:val="nil"/>
              <w:left w:val="nil"/>
              <w:bottom w:val="single" w:sz="4" w:space="0" w:color="auto"/>
              <w:right w:val="single" w:sz="4" w:space="0" w:color="auto"/>
            </w:tcBorders>
            <w:shd w:val="clear" w:color="auto" w:fill="auto"/>
            <w:noWrap/>
            <w:vAlign w:val="bottom"/>
            <w:hideMark/>
          </w:tcPr>
          <w:p w14:paraId="529DEC80" w14:textId="77777777" w:rsidR="00840AA8" w:rsidRPr="00284463" w:rsidRDefault="00840AA8" w:rsidP="00105997">
            <w:pPr>
              <w:jc w:val="both"/>
              <w:rPr>
                <w:color w:val="000000"/>
                <w:lang w:val="cs-CZ"/>
              </w:rPr>
            </w:pPr>
            <w:r w:rsidRPr="00284463">
              <w:rPr>
                <w:color w:val="000000"/>
                <w:lang w:val="cs-CZ"/>
              </w:rPr>
              <w:t>2</w:t>
            </w:r>
          </w:p>
        </w:tc>
        <w:tc>
          <w:tcPr>
            <w:tcW w:w="1300" w:type="dxa"/>
            <w:tcBorders>
              <w:top w:val="nil"/>
              <w:left w:val="nil"/>
              <w:bottom w:val="single" w:sz="4" w:space="0" w:color="auto"/>
              <w:right w:val="single" w:sz="4" w:space="0" w:color="auto"/>
            </w:tcBorders>
            <w:shd w:val="clear" w:color="auto" w:fill="auto"/>
            <w:noWrap/>
            <w:vAlign w:val="bottom"/>
            <w:hideMark/>
          </w:tcPr>
          <w:p w14:paraId="0F86C2B2" w14:textId="77777777" w:rsidR="00840AA8" w:rsidRPr="00284463" w:rsidRDefault="00840AA8" w:rsidP="00105997">
            <w:pPr>
              <w:jc w:val="both"/>
              <w:rPr>
                <w:color w:val="000000"/>
                <w:lang w:val="cs-CZ"/>
              </w:rPr>
            </w:pPr>
            <w:r w:rsidRPr="00284463">
              <w:rPr>
                <w:color w:val="000000"/>
                <w:lang w:val="cs-CZ"/>
              </w:rPr>
              <w:t>13</w:t>
            </w:r>
          </w:p>
        </w:tc>
        <w:tc>
          <w:tcPr>
            <w:tcW w:w="1300" w:type="dxa"/>
            <w:tcBorders>
              <w:top w:val="nil"/>
              <w:left w:val="nil"/>
              <w:bottom w:val="single" w:sz="4" w:space="0" w:color="auto"/>
              <w:right w:val="single" w:sz="4" w:space="0" w:color="auto"/>
            </w:tcBorders>
            <w:shd w:val="clear" w:color="auto" w:fill="auto"/>
            <w:noWrap/>
            <w:vAlign w:val="bottom"/>
            <w:hideMark/>
          </w:tcPr>
          <w:p w14:paraId="3FE7D21F" w14:textId="77777777" w:rsidR="00840AA8" w:rsidRPr="00284463" w:rsidRDefault="00840AA8" w:rsidP="00105997">
            <w:pPr>
              <w:jc w:val="both"/>
              <w:rPr>
                <w:color w:val="000000"/>
                <w:lang w:val="cs-CZ"/>
              </w:rPr>
            </w:pPr>
            <w:r w:rsidRPr="00284463">
              <w:rPr>
                <w:color w:val="000000"/>
                <w:lang w:val="cs-CZ"/>
              </w:rPr>
              <w:t>4</w:t>
            </w:r>
          </w:p>
        </w:tc>
        <w:tc>
          <w:tcPr>
            <w:tcW w:w="1340" w:type="dxa"/>
            <w:tcBorders>
              <w:top w:val="nil"/>
              <w:left w:val="nil"/>
              <w:bottom w:val="single" w:sz="4" w:space="0" w:color="auto"/>
              <w:right w:val="single" w:sz="4" w:space="0" w:color="auto"/>
            </w:tcBorders>
            <w:shd w:val="clear" w:color="auto" w:fill="auto"/>
            <w:noWrap/>
            <w:vAlign w:val="bottom"/>
            <w:hideMark/>
          </w:tcPr>
          <w:p w14:paraId="3B74D697" w14:textId="77777777" w:rsidR="00840AA8" w:rsidRPr="00284463" w:rsidRDefault="00840AA8" w:rsidP="00105997">
            <w:pPr>
              <w:jc w:val="both"/>
              <w:rPr>
                <w:color w:val="000000"/>
                <w:lang w:val="cs-CZ"/>
              </w:rPr>
            </w:pPr>
            <w:r w:rsidRPr="00284463">
              <w:rPr>
                <w:color w:val="000000"/>
                <w:lang w:val="cs-CZ"/>
              </w:rPr>
              <w:t>1</w:t>
            </w:r>
          </w:p>
        </w:tc>
        <w:tc>
          <w:tcPr>
            <w:tcW w:w="1368" w:type="dxa"/>
            <w:tcBorders>
              <w:top w:val="nil"/>
              <w:left w:val="nil"/>
              <w:bottom w:val="single" w:sz="4" w:space="0" w:color="auto"/>
              <w:right w:val="nil"/>
            </w:tcBorders>
            <w:shd w:val="clear" w:color="auto" w:fill="auto"/>
            <w:noWrap/>
            <w:vAlign w:val="bottom"/>
            <w:hideMark/>
          </w:tcPr>
          <w:p w14:paraId="0C5924D8" w14:textId="77777777" w:rsidR="00840AA8" w:rsidRPr="00284463" w:rsidRDefault="00840AA8" w:rsidP="00105997">
            <w:pPr>
              <w:jc w:val="both"/>
              <w:rPr>
                <w:color w:val="000000"/>
                <w:lang w:val="cs-CZ"/>
              </w:rPr>
            </w:pPr>
            <w:r w:rsidRPr="00284463">
              <w:rPr>
                <w:color w:val="000000"/>
                <w:lang w:val="cs-CZ"/>
              </w:rPr>
              <w:t>1</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14:paraId="52E7189B" w14:textId="77777777" w:rsidR="00840AA8" w:rsidRPr="00284463" w:rsidRDefault="00840AA8" w:rsidP="00105997">
            <w:pPr>
              <w:jc w:val="both"/>
              <w:rPr>
                <w:color w:val="000000"/>
                <w:lang w:val="cs-CZ"/>
              </w:rPr>
            </w:pPr>
            <w:r w:rsidRPr="00284463">
              <w:rPr>
                <w:color w:val="000000"/>
                <w:lang w:val="cs-CZ"/>
              </w:rPr>
              <w:t>21</w:t>
            </w:r>
          </w:p>
        </w:tc>
      </w:tr>
      <w:tr w:rsidR="00840AA8" w:rsidRPr="00284463" w14:paraId="0261E509" w14:textId="77777777" w:rsidTr="00105997">
        <w:trPr>
          <w:trHeight w:val="3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0ED6157" w14:textId="77777777" w:rsidR="00840AA8" w:rsidRPr="00284463" w:rsidRDefault="00840AA8" w:rsidP="00105997">
            <w:pPr>
              <w:jc w:val="both"/>
              <w:rPr>
                <w:color w:val="000000"/>
                <w:lang w:val="cs-CZ"/>
              </w:rPr>
            </w:pPr>
            <w:r w:rsidRPr="00284463">
              <w:rPr>
                <w:color w:val="000000"/>
                <w:lang w:val="cs-CZ"/>
              </w:rPr>
              <w:t>Muži</w:t>
            </w:r>
          </w:p>
        </w:tc>
        <w:tc>
          <w:tcPr>
            <w:tcW w:w="1320" w:type="dxa"/>
            <w:tcBorders>
              <w:top w:val="nil"/>
              <w:left w:val="nil"/>
              <w:bottom w:val="single" w:sz="8" w:space="0" w:color="auto"/>
              <w:right w:val="single" w:sz="4" w:space="0" w:color="auto"/>
            </w:tcBorders>
            <w:shd w:val="clear" w:color="auto" w:fill="auto"/>
            <w:noWrap/>
            <w:vAlign w:val="bottom"/>
            <w:hideMark/>
          </w:tcPr>
          <w:p w14:paraId="5DBC453C" w14:textId="77777777" w:rsidR="00840AA8" w:rsidRPr="00284463" w:rsidRDefault="00840AA8" w:rsidP="00105997">
            <w:pPr>
              <w:jc w:val="both"/>
              <w:rPr>
                <w:color w:val="000000"/>
                <w:lang w:val="cs-CZ"/>
              </w:rPr>
            </w:pPr>
            <w:r w:rsidRPr="00284463">
              <w:rPr>
                <w:color w:val="000000"/>
                <w:lang w:val="cs-CZ"/>
              </w:rPr>
              <w:t>0</w:t>
            </w:r>
          </w:p>
        </w:tc>
        <w:tc>
          <w:tcPr>
            <w:tcW w:w="1300" w:type="dxa"/>
            <w:tcBorders>
              <w:top w:val="nil"/>
              <w:left w:val="nil"/>
              <w:bottom w:val="single" w:sz="8" w:space="0" w:color="auto"/>
              <w:right w:val="single" w:sz="4" w:space="0" w:color="auto"/>
            </w:tcBorders>
            <w:shd w:val="clear" w:color="auto" w:fill="auto"/>
            <w:noWrap/>
            <w:vAlign w:val="bottom"/>
            <w:hideMark/>
          </w:tcPr>
          <w:p w14:paraId="1AB8E7BD" w14:textId="77777777" w:rsidR="00840AA8" w:rsidRPr="00284463" w:rsidRDefault="00840AA8" w:rsidP="00105997">
            <w:pPr>
              <w:jc w:val="both"/>
              <w:rPr>
                <w:color w:val="000000"/>
                <w:lang w:val="cs-CZ"/>
              </w:rPr>
            </w:pPr>
            <w:r w:rsidRPr="00284463">
              <w:rPr>
                <w:color w:val="000000"/>
                <w:lang w:val="cs-CZ"/>
              </w:rPr>
              <w:t>11</w:t>
            </w:r>
          </w:p>
        </w:tc>
        <w:tc>
          <w:tcPr>
            <w:tcW w:w="1300" w:type="dxa"/>
            <w:tcBorders>
              <w:top w:val="nil"/>
              <w:left w:val="nil"/>
              <w:bottom w:val="single" w:sz="8" w:space="0" w:color="auto"/>
              <w:right w:val="single" w:sz="4" w:space="0" w:color="auto"/>
            </w:tcBorders>
            <w:shd w:val="clear" w:color="auto" w:fill="auto"/>
            <w:noWrap/>
            <w:vAlign w:val="bottom"/>
            <w:hideMark/>
          </w:tcPr>
          <w:p w14:paraId="429F0870" w14:textId="77777777" w:rsidR="00840AA8" w:rsidRPr="00284463" w:rsidRDefault="00840AA8" w:rsidP="00105997">
            <w:pPr>
              <w:jc w:val="both"/>
              <w:rPr>
                <w:color w:val="000000"/>
                <w:lang w:val="cs-CZ"/>
              </w:rPr>
            </w:pPr>
            <w:r w:rsidRPr="00284463">
              <w:rPr>
                <w:color w:val="000000"/>
                <w:lang w:val="cs-CZ"/>
              </w:rPr>
              <w:t>5</w:t>
            </w:r>
          </w:p>
        </w:tc>
        <w:tc>
          <w:tcPr>
            <w:tcW w:w="1340" w:type="dxa"/>
            <w:tcBorders>
              <w:top w:val="nil"/>
              <w:left w:val="nil"/>
              <w:bottom w:val="single" w:sz="8" w:space="0" w:color="auto"/>
              <w:right w:val="single" w:sz="4" w:space="0" w:color="auto"/>
            </w:tcBorders>
            <w:shd w:val="clear" w:color="auto" w:fill="auto"/>
            <w:noWrap/>
            <w:vAlign w:val="bottom"/>
            <w:hideMark/>
          </w:tcPr>
          <w:p w14:paraId="6A13952A" w14:textId="77777777" w:rsidR="00840AA8" w:rsidRPr="00284463" w:rsidRDefault="00840AA8" w:rsidP="00105997">
            <w:pPr>
              <w:jc w:val="both"/>
              <w:rPr>
                <w:color w:val="000000"/>
                <w:lang w:val="cs-CZ"/>
              </w:rPr>
            </w:pPr>
            <w:r w:rsidRPr="00284463">
              <w:rPr>
                <w:color w:val="000000"/>
                <w:lang w:val="cs-CZ"/>
              </w:rPr>
              <w:t>3</w:t>
            </w:r>
          </w:p>
        </w:tc>
        <w:tc>
          <w:tcPr>
            <w:tcW w:w="1368" w:type="dxa"/>
            <w:tcBorders>
              <w:top w:val="nil"/>
              <w:left w:val="nil"/>
              <w:bottom w:val="single" w:sz="8" w:space="0" w:color="auto"/>
              <w:right w:val="nil"/>
            </w:tcBorders>
            <w:shd w:val="clear" w:color="auto" w:fill="auto"/>
            <w:noWrap/>
            <w:vAlign w:val="bottom"/>
            <w:hideMark/>
          </w:tcPr>
          <w:p w14:paraId="0C4E5C5B" w14:textId="77777777" w:rsidR="00840AA8" w:rsidRPr="00284463" w:rsidRDefault="00840AA8" w:rsidP="00105997">
            <w:pPr>
              <w:jc w:val="both"/>
              <w:rPr>
                <w:color w:val="000000"/>
                <w:lang w:val="cs-CZ"/>
              </w:rPr>
            </w:pPr>
            <w:r w:rsidRPr="00284463">
              <w:rPr>
                <w:color w:val="000000"/>
                <w:lang w:val="cs-CZ"/>
              </w:rPr>
              <w:t>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3539B858" w14:textId="77777777" w:rsidR="00840AA8" w:rsidRPr="00284463" w:rsidRDefault="00840AA8" w:rsidP="00105997">
            <w:pPr>
              <w:jc w:val="both"/>
              <w:rPr>
                <w:color w:val="000000"/>
                <w:lang w:val="cs-CZ"/>
              </w:rPr>
            </w:pPr>
            <w:r w:rsidRPr="00284463">
              <w:rPr>
                <w:color w:val="000000"/>
                <w:lang w:val="cs-CZ"/>
              </w:rPr>
              <w:t>19</w:t>
            </w:r>
          </w:p>
        </w:tc>
      </w:tr>
      <w:tr w:rsidR="00840AA8" w:rsidRPr="00284463" w14:paraId="781E0DA0" w14:textId="77777777" w:rsidTr="00105997">
        <w:trPr>
          <w:trHeight w:val="315"/>
        </w:trPr>
        <w:tc>
          <w:tcPr>
            <w:tcW w:w="1380" w:type="dxa"/>
            <w:tcBorders>
              <w:top w:val="single" w:sz="8" w:space="0" w:color="auto"/>
              <w:left w:val="single" w:sz="8" w:space="0" w:color="auto"/>
              <w:bottom w:val="single" w:sz="8" w:space="0" w:color="auto"/>
              <w:right w:val="single" w:sz="8" w:space="0" w:color="auto"/>
            </w:tcBorders>
            <w:shd w:val="clear" w:color="auto" w:fill="5B9BD5"/>
            <w:noWrap/>
            <w:vAlign w:val="bottom"/>
            <w:hideMark/>
          </w:tcPr>
          <w:p w14:paraId="009C2E50" w14:textId="77777777" w:rsidR="00840AA8" w:rsidRPr="00284463" w:rsidRDefault="00840AA8" w:rsidP="00105997">
            <w:pPr>
              <w:jc w:val="both"/>
              <w:rPr>
                <w:color w:val="000000"/>
                <w:lang w:val="cs-CZ"/>
              </w:rPr>
            </w:pPr>
            <w:r w:rsidRPr="00284463">
              <w:rPr>
                <w:color w:val="000000"/>
                <w:lang w:val="cs-CZ"/>
              </w:rPr>
              <w:t>Celkem</w:t>
            </w:r>
          </w:p>
        </w:tc>
        <w:tc>
          <w:tcPr>
            <w:tcW w:w="1320" w:type="dxa"/>
            <w:tcBorders>
              <w:top w:val="single" w:sz="8" w:space="0" w:color="auto"/>
              <w:left w:val="nil"/>
              <w:bottom w:val="single" w:sz="8" w:space="0" w:color="auto"/>
              <w:right w:val="single" w:sz="4" w:space="0" w:color="auto"/>
            </w:tcBorders>
            <w:shd w:val="clear" w:color="auto" w:fill="5B9BD5"/>
            <w:noWrap/>
            <w:vAlign w:val="bottom"/>
            <w:hideMark/>
          </w:tcPr>
          <w:p w14:paraId="02A974B5" w14:textId="77777777" w:rsidR="00840AA8" w:rsidRPr="00284463" w:rsidRDefault="00840AA8" w:rsidP="00105997">
            <w:pPr>
              <w:jc w:val="both"/>
              <w:rPr>
                <w:color w:val="000000"/>
                <w:lang w:val="cs-CZ"/>
              </w:rPr>
            </w:pPr>
            <w:r w:rsidRPr="00284463">
              <w:rPr>
                <w:color w:val="000000"/>
                <w:lang w:val="cs-CZ"/>
              </w:rPr>
              <w:t>2</w:t>
            </w:r>
          </w:p>
        </w:tc>
        <w:tc>
          <w:tcPr>
            <w:tcW w:w="1300" w:type="dxa"/>
            <w:tcBorders>
              <w:top w:val="single" w:sz="8" w:space="0" w:color="auto"/>
              <w:left w:val="nil"/>
              <w:bottom w:val="single" w:sz="8" w:space="0" w:color="auto"/>
              <w:right w:val="single" w:sz="4" w:space="0" w:color="auto"/>
            </w:tcBorders>
            <w:shd w:val="clear" w:color="auto" w:fill="5B9BD5"/>
            <w:noWrap/>
            <w:vAlign w:val="bottom"/>
            <w:hideMark/>
          </w:tcPr>
          <w:p w14:paraId="39EEEC5C" w14:textId="77777777" w:rsidR="00840AA8" w:rsidRPr="00284463" w:rsidRDefault="00840AA8" w:rsidP="00105997">
            <w:pPr>
              <w:jc w:val="both"/>
              <w:rPr>
                <w:color w:val="000000"/>
                <w:lang w:val="cs-CZ"/>
              </w:rPr>
            </w:pPr>
            <w:r w:rsidRPr="00284463">
              <w:rPr>
                <w:color w:val="000000"/>
                <w:lang w:val="cs-CZ"/>
              </w:rPr>
              <w:t>24</w:t>
            </w:r>
          </w:p>
        </w:tc>
        <w:tc>
          <w:tcPr>
            <w:tcW w:w="1300" w:type="dxa"/>
            <w:tcBorders>
              <w:top w:val="single" w:sz="8" w:space="0" w:color="auto"/>
              <w:left w:val="nil"/>
              <w:bottom w:val="single" w:sz="8" w:space="0" w:color="auto"/>
              <w:right w:val="single" w:sz="4" w:space="0" w:color="auto"/>
            </w:tcBorders>
            <w:shd w:val="clear" w:color="auto" w:fill="5B9BD5"/>
            <w:noWrap/>
            <w:vAlign w:val="bottom"/>
            <w:hideMark/>
          </w:tcPr>
          <w:p w14:paraId="1DEE5D60" w14:textId="77777777" w:rsidR="00840AA8" w:rsidRPr="00284463" w:rsidRDefault="00840AA8" w:rsidP="00105997">
            <w:pPr>
              <w:jc w:val="both"/>
              <w:rPr>
                <w:color w:val="000000"/>
                <w:lang w:val="cs-CZ"/>
              </w:rPr>
            </w:pPr>
            <w:r w:rsidRPr="00284463">
              <w:rPr>
                <w:color w:val="000000"/>
                <w:lang w:val="cs-CZ"/>
              </w:rPr>
              <w:t>9</w:t>
            </w:r>
          </w:p>
        </w:tc>
        <w:tc>
          <w:tcPr>
            <w:tcW w:w="1340" w:type="dxa"/>
            <w:tcBorders>
              <w:top w:val="single" w:sz="8" w:space="0" w:color="auto"/>
              <w:left w:val="nil"/>
              <w:bottom w:val="single" w:sz="8" w:space="0" w:color="auto"/>
              <w:right w:val="single" w:sz="4" w:space="0" w:color="auto"/>
            </w:tcBorders>
            <w:shd w:val="clear" w:color="auto" w:fill="5B9BD5"/>
            <w:noWrap/>
            <w:vAlign w:val="bottom"/>
            <w:hideMark/>
          </w:tcPr>
          <w:p w14:paraId="5C80E14C" w14:textId="77777777" w:rsidR="00840AA8" w:rsidRPr="00284463" w:rsidRDefault="00840AA8" w:rsidP="00105997">
            <w:pPr>
              <w:jc w:val="both"/>
              <w:rPr>
                <w:color w:val="000000"/>
                <w:lang w:val="cs-CZ"/>
              </w:rPr>
            </w:pPr>
            <w:r w:rsidRPr="00284463">
              <w:rPr>
                <w:color w:val="000000"/>
                <w:lang w:val="cs-CZ"/>
              </w:rPr>
              <w:t>4</w:t>
            </w:r>
          </w:p>
        </w:tc>
        <w:tc>
          <w:tcPr>
            <w:tcW w:w="1368" w:type="dxa"/>
            <w:tcBorders>
              <w:top w:val="single" w:sz="8" w:space="0" w:color="auto"/>
              <w:left w:val="nil"/>
              <w:bottom w:val="single" w:sz="8" w:space="0" w:color="auto"/>
              <w:right w:val="nil"/>
            </w:tcBorders>
            <w:shd w:val="clear" w:color="auto" w:fill="5B9BD5"/>
            <w:noWrap/>
            <w:vAlign w:val="bottom"/>
            <w:hideMark/>
          </w:tcPr>
          <w:p w14:paraId="57500E01" w14:textId="77777777" w:rsidR="00840AA8" w:rsidRPr="00284463" w:rsidRDefault="00840AA8" w:rsidP="00105997">
            <w:pPr>
              <w:jc w:val="both"/>
              <w:rPr>
                <w:color w:val="000000"/>
                <w:lang w:val="cs-CZ"/>
              </w:rPr>
            </w:pPr>
            <w:r w:rsidRPr="00284463">
              <w:rPr>
                <w:color w:val="000000"/>
                <w:lang w:val="cs-CZ"/>
              </w:rPr>
              <w:t>1</w:t>
            </w:r>
          </w:p>
        </w:tc>
        <w:tc>
          <w:tcPr>
            <w:tcW w:w="1276" w:type="dxa"/>
            <w:tcBorders>
              <w:top w:val="single" w:sz="8" w:space="0" w:color="auto"/>
              <w:left w:val="single" w:sz="8" w:space="0" w:color="auto"/>
              <w:bottom w:val="single" w:sz="8" w:space="0" w:color="auto"/>
              <w:right w:val="single" w:sz="8" w:space="0" w:color="auto"/>
            </w:tcBorders>
            <w:shd w:val="clear" w:color="auto" w:fill="5B9BD5"/>
            <w:noWrap/>
            <w:vAlign w:val="bottom"/>
            <w:hideMark/>
          </w:tcPr>
          <w:p w14:paraId="35361DB2" w14:textId="77777777" w:rsidR="00840AA8" w:rsidRPr="00284463" w:rsidRDefault="00840AA8" w:rsidP="00105997">
            <w:pPr>
              <w:jc w:val="both"/>
              <w:rPr>
                <w:color w:val="000000"/>
                <w:lang w:val="cs-CZ"/>
              </w:rPr>
            </w:pPr>
            <w:r w:rsidRPr="00284463">
              <w:rPr>
                <w:color w:val="000000"/>
                <w:lang w:val="cs-CZ"/>
              </w:rPr>
              <w:t>40</w:t>
            </w:r>
          </w:p>
        </w:tc>
      </w:tr>
    </w:tbl>
    <w:p w14:paraId="33FDBCC5" w14:textId="77777777" w:rsidR="00840AA8" w:rsidRPr="00284463" w:rsidRDefault="00840AA8" w:rsidP="00840AA8">
      <w:pPr>
        <w:autoSpaceDE w:val="0"/>
        <w:autoSpaceDN w:val="0"/>
        <w:adjustRightInd w:val="0"/>
        <w:ind w:firstLine="708"/>
        <w:jc w:val="both"/>
        <w:rPr>
          <w:b/>
          <w:color w:val="000000"/>
          <w:lang w:val="cs-CZ"/>
        </w:rPr>
      </w:pPr>
    </w:p>
    <w:p w14:paraId="283F9EF8" w14:textId="77777777" w:rsidR="00840AA8" w:rsidRPr="00284463" w:rsidRDefault="00840AA8" w:rsidP="00840AA8">
      <w:pPr>
        <w:autoSpaceDE w:val="0"/>
        <w:autoSpaceDN w:val="0"/>
        <w:adjustRightInd w:val="0"/>
        <w:ind w:firstLine="708"/>
        <w:jc w:val="both"/>
        <w:rPr>
          <w:color w:val="000000"/>
          <w:lang w:val="cs-CZ"/>
        </w:rPr>
      </w:pPr>
    </w:p>
    <w:p w14:paraId="2BC25BEC" w14:textId="77777777" w:rsidR="00840AA8" w:rsidRPr="00284463" w:rsidRDefault="00840AA8" w:rsidP="00840AA8">
      <w:pPr>
        <w:autoSpaceDE w:val="0"/>
        <w:autoSpaceDN w:val="0"/>
        <w:adjustRightInd w:val="0"/>
        <w:ind w:firstLine="708"/>
        <w:jc w:val="both"/>
        <w:rPr>
          <w:b/>
          <w:color w:val="000000"/>
          <w:lang w:val="cs-CZ"/>
        </w:rPr>
      </w:pPr>
    </w:p>
    <w:p w14:paraId="5A4D3FAE" w14:textId="77777777" w:rsidR="00840AA8" w:rsidRPr="00284463" w:rsidRDefault="00840AA8" w:rsidP="00840AA8">
      <w:pPr>
        <w:autoSpaceDE w:val="0"/>
        <w:autoSpaceDN w:val="0"/>
        <w:adjustRightInd w:val="0"/>
        <w:ind w:firstLine="708"/>
        <w:jc w:val="both"/>
        <w:rPr>
          <w:b/>
          <w:color w:val="000000"/>
          <w:lang w:val="cs-CZ"/>
        </w:rPr>
      </w:pPr>
      <w:r w:rsidRPr="00284463">
        <w:rPr>
          <w:b/>
          <w:color w:val="000000"/>
          <w:lang w:val="cs-CZ"/>
        </w:rPr>
        <w:t>Přehled vyslání národních expertů EASO do Itálie</w:t>
      </w:r>
    </w:p>
    <w:p w14:paraId="6090D2F8" w14:textId="77777777" w:rsidR="00840AA8" w:rsidRPr="00284463" w:rsidRDefault="00840AA8" w:rsidP="00840AA8">
      <w:pPr>
        <w:autoSpaceDE w:val="0"/>
        <w:autoSpaceDN w:val="0"/>
        <w:adjustRightInd w:val="0"/>
        <w:ind w:firstLine="708"/>
        <w:jc w:val="both"/>
        <w:rPr>
          <w:color w:val="000000"/>
          <w:lang w:val="cs-CZ"/>
        </w:rPr>
      </w:pPr>
    </w:p>
    <w:tbl>
      <w:tblPr>
        <w:tblW w:w="9284" w:type="dxa"/>
        <w:tblCellMar>
          <w:left w:w="70" w:type="dxa"/>
          <w:right w:w="70" w:type="dxa"/>
        </w:tblCellMar>
        <w:tblLook w:val="04A0" w:firstRow="1" w:lastRow="0" w:firstColumn="1" w:lastColumn="0" w:noHBand="0" w:noVBand="1"/>
      </w:tblPr>
      <w:tblGrid>
        <w:gridCol w:w="1380"/>
        <w:gridCol w:w="1320"/>
        <w:gridCol w:w="1300"/>
        <w:gridCol w:w="1300"/>
        <w:gridCol w:w="1340"/>
        <w:gridCol w:w="1368"/>
        <w:gridCol w:w="1276"/>
      </w:tblGrid>
      <w:tr w:rsidR="00840AA8" w:rsidRPr="00284463" w14:paraId="6B33A129" w14:textId="77777777" w:rsidTr="00105997">
        <w:trPr>
          <w:trHeight w:val="315"/>
        </w:trPr>
        <w:tc>
          <w:tcPr>
            <w:tcW w:w="1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FA6F5A" w14:textId="77777777" w:rsidR="00840AA8" w:rsidRPr="00284463" w:rsidRDefault="00840AA8" w:rsidP="00105997">
            <w:pPr>
              <w:jc w:val="both"/>
              <w:rPr>
                <w:color w:val="000000"/>
                <w:lang w:val="cs-CZ"/>
              </w:rPr>
            </w:pPr>
            <w:r w:rsidRPr="00284463">
              <w:rPr>
                <w:color w:val="000000"/>
                <w:lang w:val="cs-CZ"/>
              </w:rPr>
              <w:t>Itálie</w:t>
            </w:r>
          </w:p>
        </w:tc>
        <w:tc>
          <w:tcPr>
            <w:tcW w:w="1320" w:type="dxa"/>
            <w:tcBorders>
              <w:top w:val="single" w:sz="8" w:space="0" w:color="auto"/>
              <w:left w:val="nil"/>
              <w:bottom w:val="single" w:sz="8" w:space="0" w:color="auto"/>
              <w:right w:val="single" w:sz="4" w:space="0" w:color="auto"/>
            </w:tcBorders>
            <w:shd w:val="clear" w:color="auto" w:fill="auto"/>
            <w:noWrap/>
            <w:vAlign w:val="bottom"/>
            <w:hideMark/>
          </w:tcPr>
          <w:p w14:paraId="588EA1D1" w14:textId="77777777" w:rsidR="00840AA8" w:rsidRPr="00284463" w:rsidRDefault="00840AA8" w:rsidP="00105997">
            <w:pPr>
              <w:jc w:val="both"/>
              <w:rPr>
                <w:color w:val="000000"/>
                <w:lang w:val="cs-CZ"/>
              </w:rPr>
            </w:pPr>
            <w:r w:rsidRPr="00284463">
              <w:rPr>
                <w:color w:val="000000"/>
                <w:lang w:val="cs-CZ"/>
              </w:rPr>
              <w:t>2015</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72E2ABC2" w14:textId="77777777" w:rsidR="00840AA8" w:rsidRPr="00284463" w:rsidRDefault="00840AA8" w:rsidP="00105997">
            <w:pPr>
              <w:jc w:val="both"/>
              <w:rPr>
                <w:color w:val="000000"/>
                <w:lang w:val="cs-CZ"/>
              </w:rPr>
            </w:pPr>
            <w:r w:rsidRPr="00284463">
              <w:rPr>
                <w:color w:val="000000"/>
                <w:lang w:val="cs-CZ"/>
              </w:rPr>
              <w:t>2016</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7CE433B3" w14:textId="77777777" w:rsidR="00840AA8" w:rsidRPr="00284463" w:rsidRDefault="00840AA8" w:rsidP="00105997">
            <w:pPr>
              <w:jc w:val="both"/>
              <w:rPr>
                <w:color w:val="000000"/>
                <w:lang w:val="cs-CZ"/>
              </w:rPr>
            </w:pPr>
            <w:r w:rsidRPr="00284463">
              <w:rPr>
                <w:color w:val="000000"/>
                <w:lang w:val="cs-CZ"/>
              </w:rPr>
              <w:t>2017</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14:paraId="59A04E8A" w14:textId="77777777" w:rsidR="00840AA8" w:rsidRPr="00284463" w:rsidRDefault="00840AA8" w:rsidP="00105997">
            <w:pPr>
              <w:jc w:val="both"/>
              <w:rPr>
                <w:color w:val="000000"/>
                <w:lang w:val="cs-CZ"/>
              </w:rPr>
            </w:pPr>
            <w:r w:rsidRPr="00284463">
              <w:rPr>
                <w:color w:val="000000"/>
                <w:lang w:val="cs-CZ"/>
              </w:rPr>
              <w:t>2018</w:t>
            </w:r>
          </w:p>
        </w:tc>
        <w:tc>
          <w:tcPr>
            <w:tcW w:w="1368" w:type="dxa"/>
            <w:tcBorders>
              <w:top w:val="single" w:sz="8" w:space="0" w:color="auto"/>
              <w:left w:val="nil"/>
              <w:bottom w:val="single" w:sz="8" w:space="0" w:color="auto"/>
              <w:right w:val="nil"/>
            </w:tcBorders>
            <w:shd w:val="clear" w:color="auto" w:fill="auto"/>
            <w:noWrap/>
            <w:vAlign w:val="bottom"/>
            <w:hideMark/>
          </w:tcPr>
          <w:p w14:paraId="75F1EF5A" w14:textId="77777777" w:rsidR="00840AA8" w:rsidRPr="00284463" w:rsidRDefault="00840AA8" w:rsidP="00105997">
            <w:pPr>
              <w:jc w:val="both"/>
              <w:rPr>
                <w:color w:val="000000"/>
                <w:lang w:val="cs-CZ"/>
              </w:rPr>
            </w:pPr>
            <w:r w:rsidRPr="00284463">
              <w:rPr>
                <w:color w:val="000000"/>
                <w:lang w:val="cs-CZ"/>
              </w:rPr>
              <w:t>2019</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784D20" w14:textId="77777777" w:rsidR="00840AA8" w:rsidRPr="00284463" w:rsidRDefault="00840AA8" w:rsidP="00105997">
            <w:pPr>
              <w:jc w:val="both"/>
              <w:rPr>
                <w:color w:val="000000"/>
                <w:lang w:val="cs-CZ"/>
              </w:rPr>
            </w:pPr>
            <w:r w:rsidRPr="00284463">
              <w:rPr>
                <w:color w:val="000000"/>
                <w:lang w:val="cs-CZ"/>
              </w:rPr>
              <w:t>celkem</w:t>
            </w:r>
          </w:p>
        </w:tc>
      </w:tr>
      <w:tr w:rsidR="00840AA8" w:rsidRPr="00284463" w14:paraId="4ACEA64B" w14:textId="77777777" w:rsidTr="00105997">
        <w:trPr>
          <w:trHeight w:val="300"/>
        </w:trPr>
        <w:tc>
          <w:tcPr>
            <w:tcW w:w="1380" w:type="dxa"/>
            <w:tcBorders>
              <w:top w:val="nil"/>
              <w:left w:val="single" w:sz="8" w:space="0" w:color="auto"/>
              <w:bottom w:val="single" w:sz="4" w:space="0" w:color="auto"/>
              <w:right w:val="single" w:sz="8" w:space="0" w:color="auto"/>
            </w:tcBorders>
            <w:shd w:val="clear" w:color="auto" w:fill="auto"/>
            <w:noWrap/>
            <w:vAlign w:val="bottom"/>
            <w:hideMark/>
          </w:tcPr>
          <w:p w14:paraId="36BA883F" w14:textId="77777777" w:rsidR="00840AA8" w:rsidRPr="00284463" w:rsidRDefault="00840AA8" w:rsidP="00105997">
            <w:pPr>
              <w:jc w:val="both"/>
              <w:rPr>
                <w:color w:val="000000"/>
                <w:lang w:val="cs-CZ"/>
              </w:rPr>
            </w:pPr>
            <w:r w:rsidRPr="00284463">
              <w:rPr>
                <w:color w:val="000000"/>
                <w:lang w:val="cs-CZ"/>
              </w:rPr>
              <w:t>ženy</w:t>
            </w:r>
          </w:p>
        </w:tc>
        <w:tc>
          <w:tcPr>
            <w:tcW w:w="1320" w:type="dxa"/>
            <w:tcBorders>
              <w:top w:val="nil"/>
              <w:left w:val="nil"/>
              <w:bottom w:val="single" w:sz="4" w:space="0" w:color="auto"/>
              <w:right w:val="single" w:sz="4" w:space="0" w:color="auto"/>
            </w:tcBorders>
            <w:shd w:val="clear" w:color="auto" w:fill="auto"/>
            <w:noWrap/>
            <w:vAlign w:val="bottom"/>
            <w:hideMark/>
          </w:tcPr>
          <w:p w14:paraId="2D09B786" w14:textId="77777777" w:rsidR="00840AA8" w:rsidRPr="00284463" w:rsidRDefault="00840AA8" w:rsidP="00105997">
            <w:pPr>
              <w:jc w:val="both"/>
              <w:rPr>
                <w:color w:val="000000"/>
                <w:lang w:val="cs-CZ"/>
              </w:rPr>
            </w:pPr>
            <w:r w:rsidRPr="00284463">
              <w:rPr>
                <w:color w:val="000000"/>
                <w:lang w:val="cs-CZ"/>
              </w:rPr>
              <w:t>2</w:t>
            </w:r>
          </w:p>
        </w:tc>
        <w:tc>
          <w:tcPr>
            <w:tcW w:w="1300" w:type="dxa"/>
            <w:tcBorders>
              <w:top w:val="nil"/>
              <w:left w:val="nil"/>
              <w:bottom w:val="single" w:sz="4" w:space="0" w:color="auto"/>
              <w:right w:val="single" w:sz="4" w:space="0" w:color="auto"/>
            </w:tcBorders>
            <w:shd w:val="clear" w:color="auto" w:fill="auto"/>
            <w:noWrap/>
            <w:vAlign w:val="bottom"/>
            <w:hideMark/>
          </w:tcPr>
          <w:p w14:paraId="68D252F7" w14:textId="77777777" w:rsidR="00840AA8" w:rsidRPr="00284463" w:rsidRDefault="00840AA8" w:rsidP="00105997">
            <w:pPr>
              <w:jc w:val="both"/>
              <w:rPr>
                <w:color w:val="000000"/>
                <w:lang w:val="cs-CZ"/>
              </w:rPr>
            </w:pPr>
            <w:r w:rsidRPr="00284463">
              <w:rPr>
                <w:color w:val="000000"/>
                <w:lang w:val="cs-CZ"/>
              </w:rPr>
              <w:t>12</w:t>
            </w:r>
          </w:p>
        </w:tc>
        <w:tc>
          <w:tcPr>
            <w:tcW w:w="1300" w:type="dxa"/>
            <w:tcBorders>
              <w:top w:val="nil"/>
              <w:left w:val="nil"/>
              <w:bottom w:val="single" w:sz="4" w:space="0" w:color="auto"/>
              <w:right w:val="single" w:sz="4" w:space="0" w:color="auto"/>
            </w:tcBorders>
            <w:shd w:val="clear" w:color="auto" w:fill="auto"/>
            <w:noWrap/>
            <w:vAlign w:val="bottom"/>
            <w:hideMark/>
          </w:tcPr>
          <w:p w14:paraId="67C5ABEA" w14:textId="77777777" w:rsidR="00840AA8" w:rsidRPr="00284463" w:rsidRDefault="00840AA8" w:rsidP="00105997">
            <w:pPr>
              <w:jc w:val="both"/>
              <w:rPr>
                <w:color w:val="000000"/>
                <w:lang w:val="cs-CZ"/>
              </w:rPr>
            </w:pPr>
            <w:r w:rsidRPr="00284463">
              <w:rPr>
                <w:color w:val="000000"/>
                <w:lang w:val="cs-CZ"/>
              </w:rPr>
              <w:t>15</w:t>
            </w:r>
          </w:p>
        </w:tc>
        <w:tc>
          <w:tcPr>
            <w:tcW w:w="1340" w:type="dxa"/>
            <w:tcBorders>
              <w:top w:val="nil"/>
              <w:left w:val="nil"/>
              <w:bottom w:val="single" w:sz="4" w:space="0" w:color="auto"/>
              <w:right w:val="single" w:sz="4" w:space="0" w:color="auto"/>
            </w:tcBorders>
            <w:shd w:val="clear" w:color="auto" w:fill="auto"/>
            <w:noWrap/>
            <w:vAlign w:val="bottom"/>
            <w:hideMark/>
          </w:tcPr>
          <w:p w14:paraId="25611636" w14:textId="77777777" w:rsidR="00840AA8" w:rsidRPr="00284463" w:rsidRDefault="00840AA8" w:rsidP="00105997">
            <w:pPr>
              <w:jc w:val="both"/>
              <w:rPr>
                <w:color w:val="000000"/>
                <w:lang w:val="cs-CZ"/>
              </w:rPr>
            </w:pPr>
            <w:r w:rsidRPr="00284463">
              <w:rPr>
                <w:color w:val="000000"/>
                <w:lang w:val="cs-CZ"/>
              </w:rPr>
              <w:t>12</w:t>
            </w:r>
          </w:p>
        </w:tc>
        <w:tc>
          <w:tcPr>
            <w:tcW w:w="1368" w:type="dxa"/>
            <w:tcBorders>
              <w:top w:val="nil"/>
              <w:left w:val="nil"/>
              <w:bottom w:val="single" w:sz="4" w:space="0" w:color="auto"/>
              <w:right w:val="nil"/>
            </w:tcBorders>
            <w:shd w:val="clear" w:color="auto" w:fill="auto"/>
            <w:noWrap/>
            <w:vAlign w:val="bottom"/>
            <w:hideMark/>
          </w:tcPr>
          <w:p w14:paraId="189DE62B" w14:textId="77777777" w:rsidR="00840AA8" w:rsidRPr="00284463" w:rsidRDefault="00840AA8" w:rsidP="00105997">
            <w:pPr>
              <w:jc w:val="both"/>
              <w:rPr>
                <w:color w:val="000000"/>
                <w:lang w:val="cs-CZ"/>
              </w:rPr>
            </w:pPr>
            <w:r w:rsidRPr="00284463">
              <w:rPr>
                <w:color w:val="000000"/>
                <w:lang w:val="cs-CZ"/>
              </w:rPr>
              <w:t>4</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14:paraId="7C93BD35" w14:textId="77777777" w:rsidR="00840AA8" w:rsidRPr="00284463" w:rsidRDefault="00840AA8" w:rsidP="00105997">
            <w:pPr>
              <w:jc w:val="both"/>
              <w:rPr>
                <w:color w:val="000000"/>
                <w:lang w:val="cs-CZ"/>
              </w:rPr>
            </w:pPr>
            <w:r w:rsidRPr="00284463">
              <w:rPr>
                <w:color w:val="000000"/>
                <w:lang w:val="cs-CZ"/>
              </w:rPr>
              <w:t>45</w:t>
            </w:r>
          </w:p>
        </w:tc>
      </w:tr>
      <w:tr w:rsidR="00840AA8" w:rsidRPr="00284463" w14:paraId="733E2B48" w14:textId="77777777" w:rsidTr="00105997">
        <w:trPr>
          <w:trHeight w:val="3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4CE77D0" w14:textId="77777777" w:rsidR="00840AA8" w:rsidRPr="00284463" w:rsidRDefault="00840AA8" w:rsidP="00105997">
            <w:pPr>
              <w:jc w:val="both"/>
              <w:rPr>
                <w:color w:val="000000"/>
                <w:lang w:val="cs-CZ"/>
              </w:rPr>
            </w:pPr>
            <w:r w:rsidRPr="00284463">
              <w:rPr>
                <w:color w:val="000000"/>
                <w:lang w:val="cs-CZ"/>
              </w:rPr>
              <w:t>muži</w:t>
            </w:r>
          </w:p>
        </w:tc>
        <w:tc>
          <w:tcPr>
            <w:tcW w:w="1320" w:type="dxa"/>
            <w:tcBorders>
              <w:top w:val="nil"/>
              <w:left w:val="nil"/>
              <w:bottom w:val="single" w:sz="8" w:space="0" w:color="auto"/>
              <w:right w:val="single" w:sz="4" w:space="0" w:color="auto"/>
            </w:tcBorders>
            <w:shd w:val="clear" w:color="auto" w:fill="auto"/>
            <w:noWrap/>
            <w:vAlign w:val="bottom"/>
            <w:hideMark/>
          </w:tcPr>
          <w:p w14:paraId="2FD76E55" w14:textId="77777777" w:rsidR="00840AA8" w:rsidRPr="00284463" w:rsidRDefault="00840AA8" w:rsidP="00105997">
            <w:pPr>
              <w:jc w:val="both"/>
              <w:rPr>
                <w:color w:val="000000"/>
                <w:lang w:val="cs-CZ"/>
              </w:rPr>
            </w:pPr>
            <w:r w:rsidRPr="00284463">
              <w:rPr>
                <w:color w:val="000000"/>
                <w:lang w:val="cs-CZ"/>
              </w:rPr>
              <w:t>1</w:t>
            </w:r>
          </w:p>
        </w:tc>
        <w:tc>
          <w:tcPr>
            <w:tcW w:w="1300" w:type="dxa"/>
            <w:tcBorders>
              <w:top w:val="nil"/>
              <w:left w:val="nil"/>
              <w:bottom w:val="single" w:sz="8" w:space="0" w:color="auto"/>
              <w:right w:val="single" w:sz="4" w:space="0" w:color="auto"/>
            </w:tcBorders>
            <w:shd w:val="clear" w:color="auto" w:fill="auto"/>
            <w:noWrap/>
            <w:vAlign w:val="bottom"/>
            <w:hideMark/>
          </w:tcPr>
          <w:p w14:paraId="76B091CF" w14:textId="77777777" w:rsidR="00840AA8" w:rsidRPr="00284463" w:rsidRDefault="00840AA8" w:rsidP="00105997">
            <w:pPr>
              <w:jc w:val="both"/>
              <w:rPr>
                <w:color w:val="000000"/>
                <w:lang w:val="cs-CZ"/>
              </w:rPr>
            </w:pPr>
            <w:r w:rsidRPr="00284463">
              <w:rPr>
                <w:color w:val="000000"/>
                <w:lang w:val="cs-CZ"/>
              </w:rPr>
              <w:t>8</w:t>
            </w:r>
          </w:p>
        </w:tc>
        <w:tc>
          <w:tcPr>
            <w:tcW w:w="1300" w:type="dxa"/>
            <w:tcBorders>
              <w:top w:val="nil"/>
              <w:left w:val="nil"/>
              <w:bottom w:val="single" w:sz="8" w:space="0" w:color="auto"/>
              <w:right w:val="single" w:sz="4" w:space="0" w:color="auto"/>
            </w:tcBorders>
            <w:shd w:val="clear" w:color="auto" w:fill="auto"/>
            <w:noWrap/>
            <w:vAlign w:val="bottom"/>
            <w:hideMark/>
          </w:tcPr>
          <w:p w14:paraId="6ED6B7B8" w14:textId="77777777" w:rsidR="00840AA8" w:rsidRPr="00284463" w:rsidRDefault="00840AA8" w:rsidP="00105997">
            <w:pPr>
              <w:jc w:val="both"/>
              <w:rPr>
                <w:color w:val="000000"/>
                <w:lang w:val="cs-CZ"/>
              </w:rPr>
            </w:pPr>
            <w:r w:rsidRPr="00284463">
              <w:rPr>
                <w:color w:val="000000"/>
                <w:lang w:val="cs-CZ"/>
              </w:rPr>
              <w:t>2</w:t>
            </w:r>
          </w:p>
        </w:tc>
        <w:tc>
          <w:tcPr>
            <w:tcW w:w="1340" w:type="dxa"/>
            <w:tcBorders>
              <w:top w:val="nil"/>
              <w:left w:val="nil"/>
              <w:bottom w:val="single" w:sz="8" w:space="0" w:color="auto"/>
              <w:right w:val="single" w:sz="4" w:space="0" w:color="auto"/>
            </w:tcBorders>
            <w:shd w:val="clear" w:color="auto" w:fill="auto"/>
            <w:noWrap/>
            <w:vAlign w:val="bottom"/>
            <w:hideMark/>
          </w:tcPr>
          <w:p w14:paraId="3E53020F" w14:textId="77777777" w:rsidR="00840AA8" w:rsidRPr="00284463" w:rsidRDefault="00840AA8" w:rsidP="00105997">
            <w:pPr>
              <w:jc w:val="both"/>
              <w:rPr>
                <w:color w:val="000000"/>
                <w:lang w:val="cs-CZ"/>
              </w:rPr>
            </w:pPr>
            <w:r w:rsidRPr="00284463">
              <w:rPr>
                <w:color w:val="000000"/>
                <w:lang w:val="cs-CZ"/>
              </w:rPr>
              <w:t>5</w:t>
            </w:r>
          </w:p>
        </w:tc>
        <w:tc>
          <w:tcPr>
            <w:tcW w:w="1368" w:type="dxa"/>
            <w:tcBorders>
              <w:top w:val="nil"/>
              <w:left w:val="nil"/>
              <w:bottom w:val="single" w:sz="8" w:space="0" w:color="auto"/>
              <w:right w:val="nil"/>
            </w:tcBorders>
            <w:shd w:val="clear" w:color="auto" w:fill="auto"/>
            <w:noWrap/>
            <w:vAlign w:val="bottom"/>
            <w:hideMark/>
          </w:tcPr>
          <w:p w14:paraId="1182C8CD" w14:textId="77777777" w:rsidR="00840AA8" w:rsidRPr="00284463" w:rsidRDefault="00840AA8" w:rsidP="00105997">
            <w:pPr>
              <w:jc w:val="both"/>
              <w:rPr>
                <w:color w:val="000000"/>
                <w:lang w:val="cs-CZ"/>
              </w:rPr>
            </w:pPr>
            <w:r w:rsidRPr="00284463">
              <w:rPr>
                <w:color w:val="000000"/>
                <w:lang w:val="cs-CZ"/>
              </w:rPr>
              <w:t>1</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615E21A9" w14:textId="77777777" w:rsidR="00840AA8" w:rsidRPr="00284463" w:rsidRDefault="00840AA8" w:rsidP="00105997">
            <w:pPr>
              <w:jc w:val="both"/>
              <w:rPr>
                <w:color w:val="000000"/>
                <w:lang w:val="cs-CZ"/>
              </w:rPr>
            </w:pPr>
            <w:r w:rsidRPr="00284463">
              <w:rPr>
                <w:color w:val="000000"/>
                <w:lang w:val="cs-CZ"/>
              </w:rPr>
              <w:t>17</w:t>
            </w:r>
          </w:p>
        </w:tc>
      </w:tr>
      <w:tr w:rsidR="00840AA8" w:rsidRPr="00284463" w14:paraId="34448445" w14:textId="77777777" w:rsidTr="00105997">
        <w:trPr>
          <w:trHeight w:val="315"/>
        </w:trPr>
        <w:tc>
          <w:tcPr>
            <w:tcW w:w="1380" w:type="dxa"/>
            <w:tcBorders>
              <w:top w:val="single" w:sz="8" w:space="0" w:color="auto"/>
              <w:left w:val="single" w:sz="8" w:space="0" w:color="auto"/>
              <w:bottom w:val="single" w:sz="8" w:space="0" w:color="auto"/>
              <w:right w:val="single" w:sz="8" w:space="0" w:color="auto"/>
            </w:tcBorders>
            <w:shd w:val="clear" w:color="auto" w:fill="5B9BD5"/>
            <w:noWrap/>
            <w:vAlign w:val="bottom"/>
            <w:hideMark/>
          </w:tcPr>
          <w:p w14:paraId="330F4FA9" w14:textId="77777777" w:rsidR="00840AA8" w:rsidRPr="00284463" w:rsidRDefault="00840AA8" w:rsidP="00105997">
            <w:pPr>
              <w:jc w:val="both"/>
              <w:rPr>
                <w:color w:val="000000"/>
                <w:lang w:val="cs-CZ"/>
              </w:rPr>
            </w:pPr>
            <w:r w:rsidRPr="00284463">
              <w:rPr>
                <w:color w:val="000000"/>
                <w:lang w:val="cs-CZ"/>
              </w:rPr>
              <w:t>celkem</w:t>
            </w:r>
          </w:p>
        </w:tc>
        <w:tc>
          <w:tcPr>
            <w:tcW w:w="1320" w:type="dxa"/>
            <w:tcBorders>
              <w:top w:val="single" w:sz="8" w:space="0" w:color="auto"/>
              <w:left w:val="nil"/>
              <w:bottom w:val="single" w:sz="8" w:space="0" w:color="auto"/>
              <w:right w:val="single" w:sz="4" w:space="0" w:color="auto"/>
            </w:tcBorders>
            <w:shd w:val="clear" w:color="auto" w:fill="5B9BD5"/>
            <w:noWrap/>
            <w:vAlign w:val="bottom"/>
            <w:hideMark/>
          </w:tcPr>
          <w:p w14:paraId="6D6FCC73" w14:textId="77777777" w:rsidR="00840AA8" w:rsidRPr="00284463" w:rsidRDefault="00840AA8" w:rsidP="00105997">
            <w:pPr>
              <w:jc w:val="both"/>
              <w:rPr>
                <w:color w:val="000000"/>
                <w:lang w:val="cs-CZ"/>
              </w:rPr>
            </w:pPr>
            <w:r w:rsidRPr="00284463">
              <w:rPr>
                <w:color w:val="000000"/>
                <w:lang w:val="cs-CZ"/>
              </w:rPr>
              <w:t>3</w:t>
            </w:r>
          </w:p>
        </w:tc>
        <w:tc>
          <w:tcPr>
            <w:tcW w:w="1300" w:type="dxa"/>
            <w:tcBorders>
              <w:top w:val="single" w:sz="8" w:space="0" w:color="auto"/>
              <w:left w:val="nil"/>
              <w:bottom w:val="single" w:sz="8" w:space="0" w:color="auto"/>
              <w:right w:val="single" w:sz="4" w:space="0" w:color="auto"/>
            </w:tcBorders>
            <w:shd w:val="clear" w:color="auto" w:fill="5B9BD5"/>
            <w:noWrap/>
            <w:vAlign w:val="bottom"/>
            <w:hideMark/>
          </w:tcPr>
          <w:p w14:paraId="7503519C" w14:textId="77777777" w:rsidR="00840AA8" w:rsidRPr="00284463" w:rsidRDefault="00840AA8" w:rsidP="00105997">
            <w:pPr>
              <w:jc w:val="both"/>
              <w:rPr>
                <w:color w:val="000000"/>
                <w:lang w:val="cs-CZ"/>
              </w:rPr>
            </w:pPr>
            <w:r w:rsidRPr="00284463">
              <w:rPr>
                <w:color w:val="000000"/>
                <w:lang w:val="cs-CZ"/>
              </w:rPr>
              <w:t>20</w:t>
            </w:r>
          </w:p>
        </w:tc>
        <w:tc>
          <w:tcPr>
            <w:tcW w:w="1300" w:type="dxa"/>
            <w:tcBorders>
              <w:top w:val="single" w:sz="8" w:space="0" w:color="auto"/>
              <w:left w:val="nil"/>
              <w:bottom w:val="single" w:sz="8" w:space="0" w:color="auto"/>
              <w:right w:val="single" w:sz="4" w:space="0" w:color="auto"/>
            </w:tcBorders>
            <w:shd w:val="clear" w:color="auto" w:fill="5B9BD5"/>
            <w:noWrap/>
            <w:vAlign w:val="bottom"/>
            <w:hideMark/>
          </w:tcPr>
          <w:p w14:paraId="1B5EB500" w14:textId="77777777" w:rsidR="00840AA8" w:rsidRPr="00284463" w:rsidRDefault="00840AA8" w:rsidP="00105997">
            <w:pPr>
              <w:jc w:val="both"/>
              <w:rPr>
                <w:color w:val="000000"/>
                <w:lang w:val="cs-CZ"/>
              </w:rPr>
            </w:pPr>
            <w:r w:rsidRPr="00284463">
              <w:rPr>
                <w:color w:val="000000"/>
                <w:lang w:val="cs-CZ"/>
              </w:rPr>
              <w:t>17</w:t>
            </w:r>
          </w:p>
        </w:tc>
        <w:tc>
          <w:tcPr>
            <w:tcW w:w="1340" w:type="dxa"/>
            <w:tcBorders>
              <w:top w:val="single" w:sz="8" w:space="0" w:color="auto"/>
              <w:left w:val="nil"/>
              <w:bottom w:val="single" w:sz="8" w:space="0" w:color="auto"/>
              <w:right w:val="single" w:sz="4" w:space="0" w:color="auto"/>
            </w:tcBorders>
            <w:shd w:val="clear" w:color="auto" w:fill="5B9BD5"/>
            <w:noWrap/>
            <w:vAlign w:val="bottom"/>
            <w:hideMark/>
          </w:tcPr>
          <w:p w14:paraId="1B52870F" w14:textId="77777777" w:rsidR="00840AA8" w:rsidRPr="00284463" w:rsidRDefault="00840AA8" w:rsidP="00105997">
            <w:pPr>
              <w:jc w:val="both"/>
              <w:rPr>
                <w:color w:val="000000"/>
                <w:lang w:val="cs-CZ"/>
              </w:rPr>
            </w:pPr>
            <w:r w:rsidRPr="00284463">
              <w:rPr>
                <w:color w:val="000000"/>
                <w:lang w:val="cs-CZ"/>
              </w:rPr>
              <w:t>17</w:t>
            </w:r>
          </w:p>
        </w:tc>
        <w:tc>
          <w:tcPr>
            <w:tcW w:w="1368" w:type="dxa"/>
            <w:tcBorders>
              <w:top w:val="single" w:sz="8" w:space="0" w:color="auto"/>
              <w:left w:val="nil"/>
              <w:bottom w:val="single" w:sz="8" w:space="0" w:color="auto"/>
              <w:right w:val="nil"/>
            </w:tcBorders>
            <w:shd w:val="clear" w:color="auto" w:fill="5B9BD5"/>
            <w:noWrap/>
            <w:vAlign w:val="bottom"/>
            <w:hideMark/>
          </w:tcPr>
          <w:p w14:paraId="48141DEB" w14:textId="77777777" w:rsidR="00840AA8" w:rsidRPr="00284463" w:rsidRDefault="00840AA8" w:rsidP="00105997">
            <w:pPr>
              <w:jc w:val="both"/>
              <w:rPr>
                <w:color w:val="000000"/>
                <w:lang w:val="cs-CZ"/>
              </w:rPr>
            </w:pPr>
            <w:r w:rsidRPr="00284463">
              <w:rPr>
                <w:color w:val="000000"/>
                <w:lang w:val="cs-CZ"/>
              </w:rPr>
              <w:t>5</w:t>
            </w:r>
          </w:p>
        </w:tc>
        <w:tc>
          <w:tcPr>
            <w:tcW w:w="1276" w:type="dxa"/>
            <w:tcBorders>
              <w:top w:val="single" w:sz="8" w:space="0" w:color="auto"/>
              <w:left w:val="single" w:sz="8" w:space="0" w:color="auto"/>
              <w:bottom w:val="single" w:sz="8" w:space="0" w:color="auto"/>
              <w:right w:val="single" w:sz="8" w:space="0" w:color="auto"/>
            </w:tcBorders>
            <w:shd w:val="clear" w:color="auto" w:fill="5B9BD5"/>
            <w:noWrap/>
            <w:vAlign w:val="bottom"/>
            <w:hideMark/>
          </w:tcPr>
          <w:p w14:paraId="46CCA78C" w14:textId="77777777" w:rsidR="00840AA8" w:rsidRPr="00284463" w:rsidRDefault="00840AA8" w:rsidP="00105997">
            <w:pPr>
              <w:jc w:val="both"/>
              <w:rPr>
                <w:color w:val="000000"/>
                <w:lang w:val="cs-CZ"/>
              </w:rPr>
            </w:pPr>
            <w:r w:rsidRPr="00284463">
              <w:rPr>
                <w:color w:val="000000"/>
                <w:lang w:val="cs-CZ"/>
              </w:rPr>
              <w:t>62</w:t>
            </w:r>
          </w:p>
        </w:tc>
      </w:tr>
    </w:tbl>
    <w:p w14:paraId="61FEAC8E" w14:textId="77777777" w:rsidR="00840AA8" w:rsidRPr="00284463" w:rsidRDefault="00840AA8" w:rsidP="00840AA8">
      <w:pPr>
        <w:jc w:val="both"/>
        <w:rPr>
          <w:color w:val="000000"/>
          <w:lang w:val="cs-CZ"/>
        </w:rPr>
      </w:pPr>
    </w:p>
    <w:p w14:paraId="43931FCF" w14:textId="7D0272E5" w:rsidR="00840AA8" w:rsidRPr="00284463" w:rsidRDefault="00840AA8" w:rsidP="00840AA8">
      <w:pPr>
        <w:jc w:val="both"/>
        <w:rPr>
          <w:color w:val="000000"/>
          <w:lang w:val="cs-CZ"/>
        </w:rPr>
      </w:pPr>
      <w:r w:rsidRPr="00284463">
        <w:rPr>
          <w:color w:val="000000"/>
          <w:lang w:val="cs-CZ"/>
        </w:rPr>
        <w:t xml:space="preserve">Genderově vyvážený profil se MV podařilo nastavit také v oblasti řízení rozličných agend, resp. komunikačních sítí, zastřešujících spolupráci s úřadem EASO a neformální sítí GDISC (General Directors of Immigration Services Conference). </w:t>
      </w:r>
    </w:p>
    <w:p w14:paraId="7E3832BE" w14:textId="554D4832" w:rsidR="00840AA8" w:rsidRPr="00284463" w:rsidRDefault="00840AA8" w:rsidP="00840AA8">
      <w:pPr>
        <w:jc w:val="both"/>
        <w:rPr>
          <w:color w:val="000000"/>
          <w:lang w:val="cs-CZ"/>
        </w:rPr>
      </w:pPr>
      <w:r w:rsidRPr="00284463">
        <w:rPr>
          <w:color w:val="000000"/>
          <w:lang w:val="cs-CZ"/>
        </w:rPr>
        <w:t xml:space="preserve">Různorodé oblasti spolupráce MV s úřadem EASO aktuálně zastřešuje 20 funkčních komunikačních sítí, jejichž vedení, resp. odpovědné kontaktní osoby, mají vyvážený genderový profil. Celkem je ve vedení těchto sítí angažováno 6 žen a 5 mužů. Neméně důležitou je také spolupráce se sítí GDISC, kde je MV aktivní v rámci řídícího výboru a expertně pokrývá dalších 5 funkčních pracovních sítí, zaměřených na dílčí migrační agendy. V rámci této spolupráce je genderový profil řídících zástupců a zástupkyň MV zcela vyvážený. Ve vedení těchto sítí jsou angažovány 4 ženy a 4 muži.   </w:t>
      </w:r>
    </w:p>
    <w:p w14:paraId="0C4C9F3B" w14:textId="77777777" w:rsidR="00840AA8" w:rsidRPr="00284463" w:rsidRDefault="00840AA8" w:rsidP="00840AA8">
      <w:pPr>
        <w:jc w:val="both"/>
        <w:rPr>
          <w:color w:val="000000"/>
          <w:lang w:val="cs-CZ"/>
        </w:rPr>
      </w:pPr>
    </w:p>
    <w:p w14:paraId="4CFFAE77" w14:textId="386B6D4B" w:rsidR="00840AA8" w:rsidRPr="00284463" w:rsidRDefault="00840AA8" w:rsidP="00840AA8">
      <w:pPr>
        <w:jc w:val="both"/>
        <w:rPr>
          <w:color w:val="000000"/>
          <w:lang w:val="cs-CZ"/>
        </w:rPr>
      </w:pPr>
      <w:r w:rsidRPr="00284463">
        <w:rPr>
          <w:color w:val="000000"/>
          <w:lang w:val="cs-CZ"/>
        </w:rPr>
        <w:t>V následujícím roce 2021 bude MV v kontextu komplexní agendy spolupráce s úřadem EASO a neformální sítí GDISC i nadále uplatňovat vyvážený genderový profil v oblasti řízení této spolupráce, stejně jako v oblasti školení a vzdělávání pracovníků a pracovnic MV. Rovněž v oblasti vysílání českých expertů a expertek k plnění operačních plánů úřadu EASO bude MV i nadále dbát na vyvážený genderový profil nominovaných expertů a expertek.</w:t>
      </w:r>
    </w:p>
    <w:p w14:paraId="31C39EF0" w14:textId="77777777" w:rsidR="00840AA8" w:rsidRPr="00284463" w:rsidRDefault="00840AA8" w:rsidP="00840AA8">
      <w:pPr>
        <w:jc w:val="both"/>
        <w:rPr>
          <w:b/>
          <w:color w:val="000000"/>
          <w:lang w:val="cs-CZ"/>
        </w:rPr>
      </w:pPr>
    </w:p>
    <w:p w14:paraId="07D4E66C" w14:textId="28E30805" w:rsidR="00840AA8" w:rsidRPr="00284463" w:rsidRDefault="00840AA8" w:rsidP="00840AA8">
      <w:pPr>
        <w:jc w:val="both"/>
        <w:rPr>
          <w:color w:val="000000"/>
          <w:lang w:val="cs-CZ"/>
        </w:rPr>
      </w:pPr>
      <w:r w:rsidRPr="00284463">
        <w:rPr>
          <w:b/>
          <w:color w:val="000000"/>
          <w:lang w:val="cs-CZ"/>
        </w:rPr>
        <w:t>MV postoupilo v roce 2020 ČSÚ statistiky o účasti žen v rozhodovacích procesech</w:t>
      </w:r>
      <w:r w:rsidRPr="00284463">
        <w:rPr>
          <w:color w:val="000000"/>
          <w:lang w:val="cs-CZ"/>
        </w:rPr>
        <w:t xml:space="preserve"> </w:t>
      </w:r>
      <w:r w:rsidRPr="00284463">
        <w:rPr>
          <w:color w:val="000000"/>
          <w:lang w:val="cs-CZ"/>
        </w:rPr>
        <w:br/>
        <w:t xml:space="preserve">(tj. obsazení řídících funkcí v rezortu); </w:t>
      </w:r>
      <w:r w:rsidRPr="00284463">
        <w:rPr>
          <w:b/>
          <w:color w:val="000000"/>
          <w:lang w:val="cs-CZ"/>
        </w:rPr>
        <w:t>o platech v souvislostech pohlaví</w:t>
      </w:r>
      <w:r w:rsidRPr="00284463">
        <w:rPr>
          <w:color w:val="000000"/>
          <w:lang w:val="cs-CZ"/>
        </w:rPr>
        <w:t xml:space="preserve"> (tedy </w:t>
      </w:r>
      <w:r w:rsidRPr="00284463">
        <w:rPr>
          <w:color w:val="000000"/>
          <w:lang w:val="cs-CZ"/>
        </w:rPr>
        <w:lastRenderedPageBreak/>
        <w:t>anonymizovaná data o poměru žen a mužů v jednotlivých platových třídách podle zákona č. 262/2006 Sb., zákoník práce, zákona č. 234/2014 Sb., o státní službě a zákona č. 361/2003 Sb., o služebním poměru příslušníků bezpečnostních sborů). Přispělo tak statistikami do sborníku „</w:t>
      </w:r>
      <w:r w:rsidRPr="00284463">
        <w:rPr>
          <w:b/>
          <w:color w:val="000000"/>
          <w:lang w:val="cs-CZ"/>
        </w:rPr>
        <w:t>Zaostřeno a muže a ženy</w:t>
      </w:r>
      <w:r w:rsidRPr="00284463">
        <w:rPr>
          <w:color w:val="000000"/>
          <w:lang w:val="cs-CZ"/>
        </w:rPr>
        <w:t xml:space="preserve">“, dále v oblasti „Justice a Crime“ pro oblast reportování </w:t>
      </w:r>
      <w:r w:rsidRPr="00284463">
        <w:rPr>
          <w:b/>
          <w:color w:val="000000"/>
          <w:lang w:val="cs-CZ"/>
        </w:rPr>
        <w:t>UNECE za oblast kriminality</w:t>
      </w:r>
      <w:r w:rsidRPr="00284463">
        <w:rPr>
          <w:color w:val="000000"/>
          <w:lang w:val="cs-CZ"/>
        </w:rPr>
        <w:t xml:space="preserve"> a pro brožuru „</w:t>
      </w:r>
      <w:r w:rsidRPr="00284463">
        <w:rPr>
          <w:b/>
          <w:color w:val="000000"/>
          <w:lang w:val="cs-CZ"/>
        </w:rPr>
        <w:t>Ženy a muži v datech</w:t>
      </w:r>
      <w:r w:rsidRPr="00284463">
        <w:rPr>
          <w:color w:val="000000"/>
          <w:lang w:val="cs-CZ"/>
        </w:rPr>
        <w:t>“. Celkově se jedná o devět statistických podkladů s údaji o účasti žen a mužů na rozhodovacích procesech a společenských aktivitách.</w:t>
      </w:r>
    </w:p>
    <w:p w14:paraId="31372690" w14:textId="77777777" w:rsidR="00840AA8" w:rsidRPr="00284463" w:rsidRDefault="00840AA8" w:rsidP="00840AA8">
      <w:pPr>
        <w:jc w:val="both"/>
        <w:rPr>
          <w:lang w:val="cs-CZ"/>
        </w:rPr>
      </w:pPr>
    </w:p>
    <w:p w14:paraId="0D9872E3" w14:textId="37ED99EF" w:rsidR="00840AA8" w:rsidRPr="00284463" w:rsidRDefault="00840AA8" w:rsidP="00840AA8">
      <w:pPr>
        <w:jc w:val="both"/>
        <w:rPr>
          <w:b/>
          <w:lang w:val="cs-CZ"/>
        </w:rPr>
      </w:pPr>
      <w:r w:rsidRPr="00284463">
        <w:rPr>
          <w:lang w:val="cs-CZ"/>
        </w:rPr>
        <w:t>V souvislosti s migrací MV zpracovává</w:t>
      </w:r>
      <w:r w:rsidRPr="00284463">
        <w:rPr>
          <w:b/>
          <w:lang w:val="cs-CZ"/>
        </w:rPr>
        <w:t xml:space="preserve"> statistiky o počtech žádostí o mezinárodní ochranu dle země původu, pohlaví a ne/zletilosti a počtech nezletilých bez doprovodu): </w:t>
      </w:r>
    </w:p>
    <w:p w14:paraId="2C7C240A" w14:textId="77777777" w:rsidR="00840AA8" w:rsidRPr="00284463" w:rsidRDefault="001E50F1" w:rsidP="00840AA8">
      <w:pPr>
        <w:jc w:val="both"/>
        <w:rPr>
          <w:b/>
          <w:lang w:val="cs-CZ"/>
        </w:rPr>
      </w:pPr>
      <w:hyperlink r:id="rId29" w:history="1">
        <w:r w:rsidR="00840AA8" w:rsidRPr="00284463">
          <w:rPr>
            <w:rStyle w:val="Hypertextovodkaz"/>
            <w:lang w:val="cs-CZ"/>
          </w:rPr>
          <w:t>https://www.mvcr.cz/migrace/docDetail.aspx?docid=22184202&amp;doctype=ART</w:t>
        </w:r>
      </w:hyperlink>
      <w:r w:rsidR="00840AA8" w:rsidRPr="00284463">
        <w:rPr>
          <w:lang w:val="cs-CZ"/>
        </w:rPr>
        <w:t xml:space="preserve">), </w:t>
      </w:r>
      <w:r w:rsidR="00840AA8" w:rsidRPr="00284463">
        <w:rPr>
          <w:lang w:val="cs-CZ"/>
        </w:rPr>
        <w:br/>
        <w:t xml:space="preserve">a </w:t>
      </w:r>
      <w:r w:rsidR="00840AA8" w:rsidRPr="00284463">
        <w:rPr>
          <w:b/>
          <w:lang w:val="cs-CZ"/>
        </w:rPr>
        <w:t>informativní přehledy cizinců se zaevidovaným přechodným či trvalým pobytem na území České republiky</w:t>
      </w:r>
      <w:r w:rsidR="00840AA8" w:rsidRPr="00284463">
        <w:rPr>
          <w:lang w:val="cs-CZ"/>
        </w:rPr>
        <w:t> </w:t>
      </w:r>
      <w:r w:rsidR="00840AA8" w:rsidRPr="00284463">
        <w:rPr>
          <w:b/>
          <w:lang w:val="cs-CZ"/>
        </w:rPr>
        <w:t>dle země původu, pohlaví a současného místa pobytu:</w:t>
      </w:r>
    </w:p>
    <w:p w14:paraId="317F689A" w14:textId="77777777" w:rsidR="00840AA8" w:rsidRPr="00284463" w:rsidRDefault="00840AA8" w:rsidP="00840AA8">
      <w:pPr>
        <w:jc w:val="both"/>
        <w:rPr>
          <w:lang w:val="cs-CZ"/>
        </w:rPr>
      </w:pPr>
      <w:r w:rsidRPr="00284463">
        <w:rPr>
          <w:lang w:val="cs-CZ"/>
        </w:rPr>
        <w:t>(</w:t>
      </w:r>
      <w:hyperlink r:id="rId30" w:history="1">
        <w:r w:rsidRPr="00284463">
          <w:rPr>
            <w:rStyle w:val="Hypertextovodkaz"/>
            <w:lang w:val="cs-CZ"/>
          </w:rPr>
          <w:t>https://www.mvcr.cz/migrace/clanek/cizinci-s-povolenym-pobytem.aspx</w:t>
        </w:r>
      </w:hyperlink>
      <w:r w:rsidRPr="00284463">
        <w:rPr>
          <w:lang w:val="cs-CZ"/>
        </w:rPr>
        <w:t>).</w:t>
      </w:r>
    </w:p>
    <w:p w14:paraId="7FDCB508" w14:textId="77777777" w:rsidR="00840AA8" w:rsidRPr="00284463" w:rsidRDefault="00840AA8" w:rsidP="00840AA8">
      <w:pPr>
        <w:jc w:val="both"/>
        <w:rPr>
          <w:lang w:val="cs-CZ"/>
        </w:rPr>
      </w:pPr>
    </w:p>
    <w:p w14:paraId="5119F2FC" w14:textId="77777777" w:rsidR="00840AA8" w:rsidRPr="00284463" w:rsidRDefault="00840AA8" w:rsidP="00840AA8">
      <w:pPr>
        <w:rPr>
          <w:lang w:val="cs-CZ"/>
        </w:rPr>
      </w:pPr>
    </w:p>
    <w:p w14:paraId="46ACD5C5" w14:textId="77777777" w:rsidR="00840AA8" w:rsidRPr="00284463" w:rsidRDefault="00840AA8" w:rsidP="00840AA8">
      <w:pPr>
        <w:jc w:val="both"/>
        <w:rPr>
          <w:rStyle w:val="Hypertextovodkaz"/>
          <w:color w:val="000000"/>
          <w:u w:val="none"/>
          <w:lang w:val="cs-CZ"/>
        </w:rPr>
      </w:pPr>
    </w:p>
    <w:p w14:paraId="7075F1A8" w14:textId="77C4AA32" w:rsidR="002D1960" w:rsidRPr="00284463" w:rsidRDefault="00853B6D">
      <w:pPr>
        <w:rPr>
          <w:lang w:val="cs-CZ"/>
        </w:rPr>
      </w:pPr>
      <w:r w:rsidRPr="00284463">
        <w:rPr>
          <w:lang w:val="cs-CZ"/>
        </w:rPr>
        <w:br w:type="page"/>
      </w:r>
    </w:p>
    <w:p w14:paraId="58C0CB50" w14:textId="63B542D8" w:rsidR="00F34252" w:rsidRPr="00284463" w:rsidRDefault="00F34252" w:rsidP="00F34252">
      <w:pPr>
        <w:pStyle w:val="Nzev"/>
        <w:pageBreakBefore/>
        <w:pBdr>
          <w:bottom w:val="single" w:sz="4" w:space="1" w:color="4F81BD"/>
        </w:pBdr>
        <w:spacing w:before="120" w:after="120" w:line="276" w:lineRule="auto"/>
        <w:jc w:val="both"/>
        <w:rPr>
          <w:rFonts w:ascii="Times New Roman" w:hAnsi="Times New Roman"/>
          <w:color w:val="2F5496" w:themeColor="accent1" w:themeShade="BF"/>
          <w:sz w:val="28"/>
          <w:szCs w:val="28"/>
          <w:lang w:val="cs-CZ"/>
        </w:rPr>
      </w:pPr>
      <w:bookmarkStart w:id="49" w:name="_Toc39673357"/>
      <w:r w:rsidRPr="00284463">
        <w:rPr>
          <w:rFonts w:ascii="Times New Roman" w:hAnsi="Times New Roman"/>
          <w:color w:val="2F5496" w:themeColor="accent1" w:themeShade="BF"/>
          <w:sz w:val="28"/>
          <w:szCs w:val="28"/>
          <w:lang w:val="cs-CZ"/>
        </w:rPr>
        <w:lastRenderedPageBreak/>
        <w:t>Závěr</w:t>
      </w:r>
    </w:p>
    <w:p w14:paraId="63EA866A" w14:textId="7FDB19B9" w:rsidR="0014294F" w:rsidRPr="00284463" w:rsidRDefault="00F34252" w:rsidP="004E380F">
      <w:pPr>
        <w:jc w:val="both"/>
        <w:rPr>
          <w:bCs/>
          <w:lang w:val="cs-CZ"/>
        </w:rPr>
      </w:pPr>
      <w:r w:rsidRPr="00284463">
        <w:rPr>
          <w:lang w:val="cs-CZ" w:eastAsia="ko-KR"/>
        </w:rPr>
        <w:t>Česká r</w:t>
      </w:r>
      <w:r w:rsidR="004142B9" w:rsidRPr="00284463">
        <w:rPr>
          <w:lang w:val="cs-CZ" w:eastAsia="ko-KR"/>
        </w:rPr>
        <w:t>e</w:t>
      </w:r>
      <w:r w:rsidRPr="00284463">
        <w:rPr>
          <w:lang w:val="cs-CZ" w:eastAsia="ko-KR"/>
        </w:rPr>
        <w:t>publik</w:t>
      </w:r>
      <w:r w:rsidR="00F76896" w:rsidRPr="00284463">
        <w:rPr>
          <w:lang w:val="cs-CZ" w:eastAsia="ko-KR"/>
        </w:rPr>
        <w:t xml:space="preserve">a touto zprávou zakončuje </w:t>
      </w:r>
      <w:r w:rsidRPr="00284463">
        <w:rPr>
          <w:lang w:val="cs-CZ" w:eastAsia="ko-KR"/>
        </w:rPr>
        <w:t xml:space="preserve">cyklus reportování v rámci svého prvního Akčního plánu k </w:t>
      </w:r>
      <w:r w:rsidRPr="00284463">
        <w:rPr>
          <w:bCs/>
          <w:lang w:val="cs-CZ"/>
        </w:rPr>
        <w:t>implementaci rezolu</w:t>
      </w:r>
      <w:r w:rsidR="004142B9" w:rsidRPr="00284463">
        <w:rPr>
          <w:bCs/>
          <w:lang w:val="cs-CZ"/>
        </w:rPr>
        <w:t xml:space="preserve">ce Rady bezpečnosti OSN </w:t>
      </w:r>
      <w:r w:rsidRPr="00284463">
        <w:rPr>
          <w:bCs/>
          <w:lang w:val="cs-CZ"/>
        </w:rPr>
        <w:t xml:space="preserve">č. 1325 (2000), o ženách, míru a bezpečnosti a souvisejících </w:t>
      </w:r>
      <w:r w:rsidR="004142B9" w:rsidRPr="00284463">
        <w:rPr>
          <w:bCs/>
          <w:lang w:val="cs-CZ"/>
        </w:rPr>
        <w:t xml:space="preserve">rezolucí na léta 2017-2020. V rámci daného období se podařilo dosáhnout pokroku v určitých </w:t>
      </w:r>
      <w:r w:rsidR="0014294F" w:rsidRPr="00284463">
        <w:rPr>
          <w:bCs/>
          <w:lang w:val="cs-CZ"/>
        </w:rPr>
        <w:t xml:space="preserve">oblastech. </w:t>
      </w:r>
      <w:r w:rsidR="000E0FDA" w:rsidRPr="00284463">
        <w:rPr>
          <w:bCs/>
          <w:lang w:val="cs-CZ"/>
        </w:rPr>
        <w:t xml:space="preserve">V gesci MO lze </w:t>
      </w:r>
      <w:r w:rsidR="0014294F" w:rsidRPr="00284463">
        <w:rPr>
          <w:bCs/>
          <w:lang w:val="cs-CZ"/>
        </w:rPr>
        <w:t>za hodnocené období považovat za úspěch</w:t>
      </w:r>
      <w:r w:rsidR="000E0FDA" w:rsidRPr="00284463">
        <w:rPr>
          <w:bCs/>
          <w:lang w:val="cs-CZ"/>
        </w:rPr>
        <w:t xml:space="preserve"> pokračující vysoký podíl žen mezi příslušníky a příslušnicemi Armády ČR vyslanými do </w:t>
      </w:r>
      <w:r w:rsidR="009C2AEB" w:rsidRPr="00284463">
        <w:rPr>
          <w:bCs/>
          <w:lang w:val="cs-CZ"/>
        </w:rPr>
        <w:t>pozorovatelských misí OSN. V roce 2017 byla jmenována první žena, Lenka Šmerdová, do hodnosti generálky Armády ČR. Významným úspěchem v gesci MZV bylo přijetí ČR</w:t>
      </w:r>
      <w:r w:rsidR="0014294F" w:rsidRPr="00284463">
        <w:rPr>
          <w:bCs/>
          <w:lang w:val="cs-CZ"/>
        </w:rPr>
        <w:t xml:space="preserve"> do S</w:t>
      </w:r>
      <w:r w:rsidR="009C2AEB" w:rsidRPr="00284463">
        <w:rPr>
          <w:bCs/>
          <w:lang w:val="cs-CZ"/>
        </w:rPr>
        <w:t>kupiny</w:t>
      </w:r>
      <w:r w:rsidR="0014294F" w:rsidRPr="00284463">
        <w:rPr>
          <w:bCs/>
          <w:lang w:val="cs-CZ"/>
        </w:rPr>
        <w:t xml:space="preserve"> přátel Agendy WPS v dubnu 2019. Na MZV byla rovněž vytvořena funkce národního styčného úředníka/úřednice pro agendu WPS (</w:t>
      </w:r>
      <w:r w:rsidR="00985E6B" w:rsidRPr="00284463">
        <w:rPr>
          <w:bCs/>
          <w:lang w:val="cs-CZ"/>
        </w:rPr>
        <w:t>„</w:t>
      </w:r>
      <w:r w:rsidR="0014294F" w:rsidRPr="00284463">
        <w:rPr>
          <w:bCs/>
          <w:i/>
          <w:lang w:val="cs-CZ"/>
        </w:rPr>
        <w:t>WPS Focal Point</w:t>
      </w:r>
      <w:r w:rsidR="00985E6B" w:rsidRPr="00284463">
        <w:rPr>
          <w:bCs/>
          <w:i/>
          <w:lang w:val="cs-CZ"/>
        </w:rPr>
        <w:t>“</w:t>
      </w:r>
      <w:r w:rsidR="0014294F" w:rsidRPr="00284463">
        <w:rPr>
          <w:bCs/>
          <w:lang w:val="cs-CZ"/>
        </w:rPr>
        <w:t xml:space="preserve">), která se napojila </w:t>
      </w:r>
      <w:r w:rsidR="005922CC" w:rsidRPr="00284463">
        <w:rPr>
          <w:bCs/>
          <w:lang w:val="cs-CZ"/>
        </w:rPr>
        <w:t xml:space="preserve">na síť </w:t>
      </w:r>
      <w:r w:rsidR="00976917" w:rsidRPr="00284463">
        <w:rPr>
          <w:bCs/>
          <w:lang w:val="cs-CZ"/>
        </w:rPr>
        <w:t>styčných</w:t>
      </w:r>
      <w:r w:rsidR="005922CC" w:rsidRPr="00284463">
        <w:rPr>
          <w:bCs/>
          <w:lang w:val="cs-CZ"/>
        </w:rPr>
        <w:t xml:space="preserve"> úředníků pro WPS jak v EU, tak na globální síť a aktivně s nimi spolupracovala. </w:t>
      </w:r>
      <w:r w:rsidR="0014294F" w:rsidRPr="00284463">
        <w:rPr>
          <w:bCs/>
          <w:lang w:val="cs-CZ"/>
        </w:rPr>
        <w:t xml:space="preserve">ČR </w:t>
      </w:r>
      <w:r w:rsidR="005922CC" w:rsidRPr="00284463">
        <w:rPr>
          <w:bCs/>
          <w:lang w:val="cs-CZ"/>
        </w:rPr>
        <w:t>podporuje finančně globální implementaci agendy WPS; p</w:t>
      </w:r>
      <w:r w:rsidR="0014294F" w:rsidRPr="00284463">
        <w:rPr>
          <w:bCs/>
          <w:lang w:val="cs-CZ"/>
        </w:rPr>
        <w:t>ravidelně přispívá do rozpočtů UN WOMEN a Úřadu vy</w:t>
      </w:r>
      <w:r w:rsidR="005922CC" w:rsidRPr="00284463">
        <w:rPr>
          <w:bCs/>
          <w:lang w:val="cs-CZ"/>
        </w:rPr>
        <w:t>soké komisařky pro lidská práva. ČR podpořila řadu</w:t>
      </w:r>
      <w:r w:rsidR="0014294F" w:rsidRPr="00284463">
        <w:rPr>
          <w:bCs/>
          <w:lang w:val="cs-CZ"/>
        </w:rPr>
        <w:t xml:space="preserve"> projektů rozvojové </w:t>
      </w:r>
      <w:r w:rsidR="00976917" w:rsidRPr="00284463">
        <w:rPr>
          <w:bCs/>
          <w:lang w:val="cs-CZ"/>
        </w:rPr>
        <w:t>spolupráce</w:t>
      </w:r>
      <w:r w:rsidR="005922CC" w:rsidRPr="00284463">
        <w:rPr>
          <w:bCs/>
          <w:lang w:val="cs-CZ"/>
        </w:rPr>
        <w:t xml:space="preserve"> a při jejich výběru zohlednila mimo jiné i genderovou perspektivu</w:t>
      </w:r>
      <w:r w:rsidR="0014294F" w:rsidRPr="00284463">
        <w:rPr>
          <w:bCs/>
          <w:lang w:val="cs-CZ"/>
        </w:rPr>
        <w:t>. V oblastech, které spadají do gesce MV je nepochybně úspěchem zvolení plk. Mgr. Bc. Havránkové do pozice vice-</w:t>
      </w:r>
      <w:r w:rsidR="00976917" w:rsidRPr="00284463">
        <w:rPr>
          <w:bCs/>
          <w:lang w:val="cs-CZ"/>
        </w:rPr>
        <w:t>prezidentky</w:t>
      </w:r>
      <w:r w:rsidR="0014294F" w:rsidRPr="00284463">
        <w:rPr>
          <w:bCs/>
          <w:lang w:val="cs-CZ"/>
        </w:rPr>
        <w:t xml:space="preserve"> INTERPOLu pro Evropu. V rámci </w:t>
      </w:r>
      <w:r w:rsidR="00976917" w:rsidRPr="00284463">
        <w:rPr>
          <w:bCs/>
          <w:lang w:val="cs-CZ"/>
        </w:rPr>
        <w:t>spolupráce</w:t>
      </w:r>
      <w:r w:rsidR="0014294F" w:rsidRPr="00284463">
        <w:rPr>
          <w:bCs/>
          <w:lang w:val="cs-CZ"/>
        </w:rPr>
        <w:t xml:space="preserve"> s EASO se MV podařilo nastavit vyvážený genderový profil v oblasti komunikačních sítí, které zastřešují spolupráci s EASO. Pozitivní je také vyrovnané zastoupení dívek a chlapců na policejních středních a vysokých školách.  </w:t>
      </w:r>
    </w:p>
    <w:p w14:paraId="156969ED" w14:textId="77777777" w:rsidR="0014294F" w:rsidRPr="00284463" w:rsidRDefault="0014294F" w:rsidP="0014294F">
      <w:pPr>
        <w:jc w:val="both"/>
        <w:rPr>
          <w:bCs/>
          <w:lang w:val="cs-CZ"/>
        </w:rPr>
      </w:pPr>
    </w:p>
    <w:p w14:paraId="26CA0241" w14:textId="4E0A98A3" w:rsidR="0014294F" w:rsidRPr="00284463" w:rsidRDefault="005922CC" w:rsidP="0014294F">
      <w:pPr>
        <w:jc w:val="both"/>
        <w:rPr>
          <w:bCs/>
          <w:lang w:val="cs-CZ"/>
        </w:rPr>
      </w:pPr>
      <w:r w:rsidRPr="00284463">
        <w:rPr>
          <w:bCs/>
          <w:lang w:val="cs-CZ"/>
        </w:rPr>
        <w:t>S</w:t>
      </w:r>
      <w:r w:rsidR="001D7528" w:rsidRPr="00284463">
        <w:rPr>
          <w:bCs/>
          <w:lang w:val="cs-CZ"/>
        </w:rPr>
        <w:t xml:space="preserve">polečných úspěchem </w:t>
      </w:r>
      <w:r w:rsidRPr="00284463">
        <w:rPr>
          <w:bCs/>
          <w:lang w:val="cs-CZ"/>
        </w:rPr>
        <w:t xml:space="preserve">strategického významu </w:t>
      </w:r>
      <w:r w:rsidR="001D7528" w:rsidRPr="00284463">
        <w:rPr>
          <w:bCs/>
          <w:lang w:val="cs-CZ"/>
        </w:rPr>
        <w:t>je pak zachování kontinuity implementace Agendy WPS prostřednictvím druhého Národního akčního plánu ČR na období 2021-2025</w:t>
      </w:r>
      <w:r w:rsidR="004E380F" w:rsidRPr="00284463">
        <w:rPr>
          <w:bCs/>
          <w:lang w:val="cs-CZ"/>
        </w:rPr>
        <w:t>, který byl schválen vládou ČR v listopadu 2020</w:t>
      </w:r>
      <w:r w:rsidR="001D7528" w:rsidRPr="00284463">
        <w:rPr>
          <w:bCs/>
          <w:lang w:val="cs-CZ"/>
        </w:rPr>
        <w:t xml:space="preserve">. Při jeho vytváření byla </w:t>
      </w:r>
      <w:r w:rsidR="004E380F" w:rsidRPr="00284463">
        <w:rPr>
          <w:bCs/>
          <w:lang w:val="cs-CZ"/>
        </w:rPr>
        <w:t>vy</w:t>
      </w:r>
      <w:r w:rsidR="001D7528" w:rsidRPr="00284463">
        <w:rPr>
          <w:bCs/>
          <w:lang w:val="cs-CZ"/>
        </w:rPr>
        <w:t>užita rozdílná metodologie, která umožňuje pokrok v implementaci Agendy WPS lépe měřit. Č</w:t>
      </w:r>
      <w:r w:rsidRPr="00284463">
        <w:rPr>
          <w:bCs/>
          <w:lang w:val="cs-CZ"/>
        </w:rPr>
        <w:t>R</w:t>
      </w:r>
      <w:r w:rsidR="001D7528" w:rsidRPr="00284463">
        <w:rPr>
          <w:bCs/>
          <w:lang w:val="cs-CZ"/>
        </w:rPr>
        <w:t xml:space="preserve"> si stanovila čtyři strategické cíle, a to</w:t>
      </w:r>
      <w:r w:rsidR="004E380F" w:rsidRPr="00284463">
        <w:rPr>
          <w:bCs/>
          <w:lang w:val="cs-CZ"/>
        </w:rPr>
        <w:t xml:space="preserve"> (i) posilovat participaci a vůdčí roli žen ve všech oblastech spojených s mírem a bezpečností, (ii) systematicky posilovat začlenění genderové problematiky do všech oblastí souvisejících s mírem a bezpečností, (iii) aktivně se podílet na posilování prevence konfliktů skrze podporu práv žen a genderové rovnosti a (iv) poskytovat a podporovat adekvátní rozvojovou a transformační spolupráci a humanitární pomoc, která směřuje na potřeby žen a dívek. </w:t>
      </w:r>
      <w:r w:rsidR="0014294F" w:rsidRPr="00284463">
        <w:rPr>
          <w:bCs/>
          <w:lang w:val="cs-CZ"/>
        </w:rPr>
        <w:t>K </w:t>
      </w:r>
      <w:r w:rsidR="004E380F" w:rsidRPr="00284463">
        <w:rPr>
          <w:bCs/>
          <w:lang w:val="cs-CZ"/>
        </w:rPr>
        <w:t xml:space="preserve">těmto </w:t>
      </w:r>
      <w:r w:rsidR="0014294F" w:rsidRPr="00284463">
        <w:rPr>
          <w:bCs/>
          <w:lang w:val="cs-CZ"/>
        </w:rPr>
        <w:t>strategickým cílům</w:t>
      </w:r>
      <w:r w:rsidR="001D7528" w:rsidRPr="00284463">
        <w:rPr>
          <w:bCs/>
          <w:lang w:val="cs-CZ"/>
        </w:rPr>
        <w:t xml:space="preserve"> </w:t>
      </w:r>
      <w:r w:rsidRPr="00284463">
        <w:rPr>
          <w:bCs/>
          <w:lang w:val="cs-CZ"/>
        </w:rPr>
        <w:t xml:space="preserve">nový </w:t>
      </w:r>
      <w:r w:rsidR="004E380F" w:rsidRPr="00284463">
        <w:rPr>
          <w:bCs/>
          <w:lang w:val="cs-CZ"/>
        </w:rPr>
        <w:t>NAP</w:t>
      </w:r>
      <w:r w:rsidR="0014294F" w:rsidRPr="00284463">
        <w:rPr>
          <w:bCs/>
          <w:lang w:val="cs-CZ"/>
        </w:rPr>
        <w:t xml:space="preserve"> </w:t>
      </w:r>
      <w:r w:rsidR="004E380F" w:rsidRPr="00284463">
        <w:rPr>
          <w:bCs/>
          <w:lang w:val="cs-CZ"/>
        </w:rPr>
        <w:t>navrhuje sa</w:t>
      </w:r>
      <w:r w:rsidR="0014294F" w:rsidRPr="00284463">
        <w:rPr>
          <w:bCs/>
          <w:lang w:val="cs-CZ"/>
        </w:rPr>
        <w:t>dy konkrétních opatření doplněné o indikátory, pomocí kterých je možné určit, zda a do jaké míry b</w:t>
      </w:r>
      <w:r w:rsidR="004E380F" w:rsidRPr="00284463">
        <w:rPr>
          <w:bCs/>
          <w:lang w:val="cs-CZ"/>
        </w:rPr>
        <w:t>udou</w:t>
      </w:r>
      <w:r w:rsidR="0014294F" w:rsidRPr="00284463">
        <w:rPr>
          <w:bCs/>
          <w:lang w:val="cs-CZ"/>
        </w:rPr>
        <w:t xml:space="preserve"> opatření plněna. Je stanovena předpokládaná délka realizace opatření a je uvedena konkrétní instituce odpovědná za jeho realizaci. Opatření jsou tak specifická, měřitelná, relevantn</w:t>
      </w:r>
      <w:r w:rsidR="00A7152B" w:rsidRPr="00284463">
        <w:rPr>
          <w:bCs/>
          <w:lang w:val="cs-CZ"/>
        </w:rPr>
        <w:t>í vůči jednotlivým strategickým</w:t>
      </w:r>
      <w:r w:rsidR="0014294F" w:rsidRPr="00284463">
        <w:rPr>
          <w:bCs/>
          <w:lang w:val="cs-CZ"/>
        </w:rPr>
        <w:t xml:space="preserve"> cílům a časově ohraničená. Tato metodologie má za cíl zjednodušit a zpřehlednit každoroční vyhodnocování implementace Národního akčního plánu.</w:t>
      </w:r>
      <w:r w:rsidR="00A7152B" w:rsidRPr="00284463">
        <w:rPr>
          <w:bCs/>
          <w:lang w:val="cs-CZ"/>
        </w:rPr>
        <w:t xml:space="preserve"> </w:t>
      </w:r>
      <w:r w:rsidR="0014294F" w:rsidRPr="00284463">
        <w:rPr>
          <w:bCs/>
          <w:lang w:val="cs-CZ"/>
        </w:rPr>
        <w:t xml:space="preserve">Monitorování implementace bude prováděno každoročně formou vypracování implementační zprávy a průběžným vyhodnocováním na schůzkách meziresortní pracovní skupiny všech relevantních rezortů k Agendě ženy, mír a bezpečnost, která bude </w:t>
      </w:r>
      <w:r w:rsidR="001D7528" w:rsidRPr="00284463">
        <w:rPr>
          <w:bCs/>
          <w:lang w:val="cs-CZ"/>
        </w:rPr>
        <w:t xml:space="preserve">formálně </w:t>
      </w:r>
      <w:r w:rsidR="0014294F" w:rsidRPr="00284463">
        <w:rPr>
          <w:bCs/>
          <w:lang w:val="cs-CZ"/>
        </w:rPr>
        <w:t>ustavena v souladu s </w:t>
      </w:r>
      <w:r w:rsidR="00976917" w:rsidRPr="00284463">
        <w:rPr>
          <w:bCs/>
          <w:lang w:val="cs-CZ"/>
        </w:rPr>
        <w:t>usnesením</w:t>
      </w:r>
      <w:r w:rsidR="0014294F" w:rsidRPr="00284463">
        <w:rPr>
          <w:bCs/>
          <w:lang w:val="cs-CZ"/>
        </w:rPr>
        <w:t xml:space="preserve"> vlády České republiky č. 1218 z 23. listopadu 2020 a které bude předsedat Ministerstvo zahraničních věcí.</w:t>
      </w:r>
    </w:p>
    <w:p w14:paraId="2EC547B7" w14:textId="77777777" w:rsidR="0014294F" w:rsidRPr="00284463" w:rsidRDefault="0014294F" w:rsidP="0014294F">
      <w:pPr>
        <w:jc w:val="both"/>
        <w:rPr>
          <w:bCs/>
          <w:lang w:val="cs-CZ"/>
        </w:rPr>
      </w:pPr>
    </w:p>
    <w:p w14:paraId="6AAE18F8" w14:textId="77777777" w:rsidR="0014294F" w:rsidRPr="00284463" w:rsidRDefault="0014294F" w:rsidP="004E380F">
      <w:pPr>
        <w:jc w:val="both"/>
        <w:rPr>
          <w:bCs/>
          <w:lang w:val="cs-CZ"/>
        </w:rPr>
      </w:pPr>
    </w:p>
    <w:p w14:paraId="3BD24125" w14:textId="50EEFC6D" w:rsidR="00F34252" w:rsidRPr="00284463" w:rsidRDefault="0014294F" w:rsidP="004E380F">
      <w:pPr>
        <w:jc w:val="both"/>
        <w:rPr>
          <w:lang w:val="cs-CZ" w:eastAsia="ko-KR"/>
        </w:rPr>
      </w:pPr>
      <w:r w:rsidRPr="00284463">
        <w:rPr>
          <w:bCs/>
          <w:lang w:val="cs-CZ"/>
        </w:rPr>
        <w:t xml:space="preserve"> </w:t>
      </w:r>
    </w:p>
    <w:p w14:paraId="510AC422" w14:textId="175C2A44" w:rsidR="00B55BF0" w:rsidRPr="00284463" w:rsidRDefault="00B55BF0" w:rsidP="005922CC">
      <w:pPr>
        <w:pStyle w:val="Nzev"/>
        <w:pageBreakBefore/>
        <w:pBdr>
          <w:bottom w:val="single" w:sz="4" w:space="1" w:color="4F81BD"/>
        </w:pBdr>
        <w:spacing w:before="120" w:after="120" w:line="276" w:lineRule="auto"/>
        <w:jc w:val="both"/>
        <w:rPr>
          <w:rFonts w:ascii="Times New Roman" w:hAnsi="Times New Roman"/>
          <w:color w:val="2F5496" w:themeColor="accent1" w:themeShade="BF"/>
          <w:sz w:val="28"/>
          <w:szCs w:val="28"/>
          <w:lang w:val="cs-CZ"/>
        </w:rPr>
      </w:pPr>
      <w:r w:rsidRPr="00284463">
        <w:rPr>
          <w:rFonts w:ascii="Times New Roman" w:hAnsi="Times New Roman"/>
          <w:color w:val="2F5496" w:themeColor="accent1" w:themeShade="BF"/>
          <w:sz w:val="28"/>
          <w:szCs w:val="28"/>
          <w:lang w:val="cs-CZ"/>
        </w:rPr>
        <w:lastRenderedPageBreak/>
        <w:t>Seznam zkratek</w:t>
      </w:r>
      <w:bookmarkEnd w:id="49"/>
    </w:p>
    <w:p w14:paraId="65BA0CA4" w14:textId="77777777" w:rsidR="000C3712" w:rsidRPr="00284463" w:rsidRDefault="000C3712" w:rsidP="00B55BF0">
      <w:pPr>
        <w:spacing w:line="360" w:lineRule="auto"/>
        <w:rPr>
          <w:lang w:val="cs-CZ"/>
        </w:rPr>
      </w:pPr>
    </w:p>
    <w:p w14:paraId="25133FF8" w14:textId="1CC5A790" w:rsidR="00B55BF0" w:rsidRPr="00284463" w:rsidRDefault="00B55BF0" w:rsidP="00B55BF0">
      <w:pPr>
        <w:spacing w:line="360" w:lineRule="auto"/>
        <w:rPr>
          <w:lang w:val="cs-CZ"/>
        </w:rPr>
      </w:pPr>
      <w:r w:rsidRPr="00284463">
        <w:rPr>
          <w:lang w:val="cs-CZ"/>
        </w:rPr>
        <w:t>AAT – Letecký poradní tým</w:t>
      </w:r>
    </w:p>
    <w:p w14:paraId="373D00BC" w14:textId="77777777" w:rsidR="00B55BF0" w:rsidRPr="00284463" w:rsidRDefault="00B55BF0" w:rsidP="00B55BF0">
      <w:pPr>
        <w:spacing w:line="360" w:lineRule="auto"/>
        <w:rPr>
          <w:lang w:val="cs-CZ"/>
        </w:rPr>
      </w:pPr>
      <w:r w:rsidRPr="00284463">
        <w:rPr>
          <w:lang w:val="cs-CZ"/>
        </w:rPr>
        <w:t>ATP – Administrativně technické pozice</w:t>
      </w:r>
    </w:p>
    <w:p w14:paraId="78187A81" w14:textId="77777777" w:rsidR="00B55BF0" w:rsidRPr="00284463" w:rsidRDefault="00B55BF0" w:rsidP="00B55BF0">
      <w:pPr>
        <w:spacing w:line="360" w:lineRule="auto"/>
        <w:rPr>
          <w:lang w:val="cs-CZ"/>
        </w:rPr>
      </w:pPr>
      <w:r w:rsidRPr="00284463">
        <w:rPr>
          <w:lang w:val="cs-CZ"/>
        </w:rPr>
        <w:t>CEDAW – Úmluva o odstranění všech forem diskriminace žen</w:t>
      </w:r>
    </w:p>
    <w:p w14:paraId="5E209E13" w14:textId="5ED119DD" w:rsidR="00B55BF0" w:rsidRPr="00284463" w:rsidRDefault="00B55BF0" w:rsidP="00B55BF0">
      <w:pPr>
        <w:spacing w:line="360" w:lineRule="auto"/>
        <w:rPr>
          <w:lang w:val="cs-CZ"/>
        </w:rPr>
      </w:pPr>
      <w:r w:rsidRPr="00284463">
        <w:rPr>
          <w:lang w:val="cs-CZ"/>
        </w:rPr>
        <w:t>CoC – Kodex chování</w:t>
      </w:r>
    </w:p>
    <w:p w14:paraId="245D1872" w14:textId="1ED7BEAC" w:rsidR="00B55BF0" w:rsidRPr="00284463" w:rsidRDefault="00B55BF0" w:rsidP="00B55BF0">
      <w:pPr>
        <w:spacing w:line="360" w:lineRule="auto"/>
        <w:rPr>
          <w:lang w:val="cs-CZ"/>
        </w:rPr>
      </w:pPr>
      <w:r w:rsidRPr="00284463">
        <w:rPr>
          <w:lang w:val="cs-CZ"/>
        </w:rPr>
        <w:t>CoE – Rada Evropy</w:t>
      </w:r>
    </w:p>
    <w:p w14:paraId="227F8337" w14:textId="15A30E3B" w:rsidR="00B55BF0" w:rsidRPr="00284463" w:rsidRDefault="00B55BF0" w:rsidP="00B55BF0">
      <w:pPr>
        <w:spacing w:line="360" w:lineRule="auto"/>
        <w:rPr>
          <w:lang w:val="cs-CZ"/>
        </w:rPr>
      </w:pPr>
      <w:r w:rsidRPr="00284463">
        <w:rPr>
          <w:lang w:val="cs-CZ"/>
        </w:rPr>
        <w:t>CSDP – Společná bezpečnostní a obranná politika</w:t>
      </w:r>
    </w:p>
    <w:p w14:paraId="10D9987E" w14:textId="77777777" w:rsidR="00B55BF0" w:rsidRPr="00284463" w:rsidRDefault="00B55BF0" w:rsidP="00B55BF0">
      <w:pPr>
        <w:spacing w:line="360" w:lineRule="auto"/>
        <w:rPr>
          <w:lang w:val="cs-CZ"/>
        </w:rPr>
      </w:pPr>
      <w:r w:rsidRPr="00284463">
        <w:rPr>
          <w:lang w:val="cs-CZ"/>
        </w:rPr>
        <w:t>ČRA – Česká rozvojová agentura</w:t>
      </w:r>
    </w:p>
    <w:p w14:paraId="06BBE681" w14:textId="77777777" w:rsidR="00B55BF0" w:rsidRPr="00284463" w:rsidRDefault="00B55BF0" w:rsidP="00B55BF0">
      <w:pPr>
        <w:spacing w:line="360" w:lineRule="auto"/>
        <w:rPr>
          <w:lang w:val="cs-CZ"/>
        </w:rPr>
      </w:pPr>
      <w:r w:rsidRPr="00284463">
        <w:rPr>
          <w:lang w:val="cs-CZ"/>
        </w:rPr>
        <w:t>DCAF – Centrum</w:t>
      </w:r>
      <w:r w:rsidRPr="00284463">
        <w:rPr>
          <w:bCs/>
          <w:lang w:val="cs-CZ"/>
        </w:rPr>
        <w:t xml:space="preserve"> pro řízení bezpečnosti v Ženevě</w:t>
      </w:r>
    </w:p>
    <w:p w14:paraId="71869656" w14:textId="77777777" w:rsidR="00B55BF0" w:rsidRPr="00284463" w:rsidRDefault="00B55BF0" w:rsidP="00B55BF0">
      <w:pPr>
        <w:spacing w:line="360" w:lineRule="auto"/>
        <w:rPr>
          <w:lang w:val="cs-CZ"/>
        </w:rPr>
      </w:pPr>
      <w:r w:rsidRPr="00284463">
        <w:rPr>
          <w:lang w:val="cs-CZ"/>
        </w:rPr>
        <w:t xml:space="preserve">DDR – Demobilizace, odzbrojení, reintegrace </w:t>
      </w:r>
    </w:p>
    <w:p w14:paraId="53425947" w14:textId="77777777" w:rsidR="00B55BF0" w:rsidRPr="00284463" w:rsidRDefault="00B55BF0" w:rsidP="00B55BF0">
      <w:pPr>
        <w:spacing w:line="360" w:lineRule="auto"/>
        <w:rPr>
          <w:lang w:val="cs-CZ"/>
        </w:rPr>
      </w:pPr>
      <w:r w:rsidRPr="00284463">
        <w:rPr>
          <w:lang w:val="cs-CZ"/>
        </w:rPr>
        <w:t>DEU – Delegace</w:t>
      </w:r>
      <w:r w:rsidRPr="00284463">
        <w:rPr>
          <w:shd w:val="clear" w:color="auto" w:fill="FFFFFF"/>
          <w:lang w:val="cs-CZ"/>
        </w:rPr>
        <w:t xml:space="preserve"> EU</w:t>
      </w:r>
    </w:p>
    <w:p w14:paraId="3367D255" w14:textId="77777777" w:rsidR="00B55BF0" w:rsidRPr="00284463" w:rsidRDefault="00B55BF0" w:rsidP="00B55BF0">
      <w:pPr>
        <w:spacing w:line="360" w:lineRule="auto"/>
        <w:rPr>
          <w:lang w:val="cs-CZ"/>
        </w:rPr>
      </w:pPr>
      <w:r w:rsidRPr="00284463">
        <w:rPr>
          <w:lang w:val="cs-CZ"/>
        </w:rPr>
        <w:t xml:space="preserve">DP – Diplomatické pozice </w:t>
      </w:r>
    </w:p>
    <w:p w14:paraId="30FCE30B" w14:textId="77777777" w:rsidR="00B55BF0" w:rsidRPr="00284463" w:rsidRDefault="00B55BF0" w:rsidP="00B55BF0">
      <w:pPr>
        <w:spacing w:line="360" w:lineRule="auto"/>
        <w:rPr>
          <w:lang w:val="cs-CZ"/>
        </w:rPr>
      </w:pPr>
      <w:r w:rsidRPr="00284463">
        <w:rPr>
          <w:lang w:val="cs-CZ"/>
        </w:rPr>
        <w:t>EASO – Evropský podpůrný úřad pro otázky azylu</w:t>
      </w:r>
    </w:p>
    <w:p w14:paraId="709EE081" w14:textId="77777777" w:rsidR="00B55BF0" w:rsidRPr="00284463" w:rsidRDefault="00B55BF0" w:rsidP="00B55BF0">
      <w:pPr>
        <w:spacing w:line="360" w:lineRule="auto"/>
        <w:rPr>
          <w:lang w:val="cs-CZ"/>
        </w:rPr>
      </w:pPr>
      <w:r w:rsidRPr="00284463">
        <w:rPr>
          <w:lang w:val="cs-CZ"/>
        </w:rPr>
        <w:t>EBCGT – Evropská pohraniční a pobřežní stráž</w:t>
      </w:r>
    </w:p>
    <w:p w14:paraId="1A17A7F5" w14:textId="77777777" w:rsidR="00B55BF0" w:rsidRPr="00284463" w:rsidRDefault="00B55BF0" w:rsidP="00B55BF0">
      <w:pPr>
        <w:spacing w:line="360" w:lineRule="auto"/>
        <w:rPr>
          <w:lang w:val="cs-CZ"/>
        </w:rPr>
      </w:pPr>
      <w:r w:rsidRPr="00284463">
        <w:rPr>
          <w:lang w:val="cs-CZ"/>
        </w:rPr>
        <w:t>EDA – Evropská obranná agentura</w:t>
      </w:r>
    </w:p>
    <w:p w14:paraId="1893157B" w14:textId="77777777" w:rsidR="00B55BF0" w:rsidRPr="00284463" w:rsidRDefault="00B55BF0" w:rsidP="00B55BF0">
      <w:pPr>
        <w:spacing w:line="360" w:lineRule="auto"/>
        <w:rPr>
          <w:lang w:val="cs-CZ"/>
        </w:rPr>
      </w:pPr>
      <w:r w:rsidRPr="00284463">
        <w:rPr>
          <w:lang w:val="cs-CZ"/>
        </w:rPr>
        <w:t>eFP – Předsunutá</w:t>
      </w:r>
      <w:r w:rsidRPr="00284463">
        <w:rPr>
          <w:shd w:val="clear" w:color="auto" w:fill="FFFFFF"/>
          <w:lang w:val="cs-CZ"/>
        </w:rPr>
        <w:t xml:space="preserve"> přítomnost</w:t>
      </w:r>
    </w:p>
    <w:p w14:paraId="5DABE15B" w14:textId="77777777" w:rsidR="00B55BF0" w:rsidRPr="00284463" w:rsidRDefault="00B55BF0" w:rsidP="00B55BF0">
      <w:pPr>
        <w:spacing w:line="360" w:lineRule="auto"/>
        <w:rPr>
          <w:lang w:val="cs-CZ"/>
        </w:rPr>
      </w:pPr>
      <w:r w:rsidRPr="00284463">
        <w:rPr>
          <w:lang w:val="cs-CZ"/>
        </w:rPr>
        <w:t>ERCC – Středisko</w:t>
      </w:r>
      <w:r w:rsidRPr="00284463">
        <w:rPr>
          <w:rFonts w:eastAsiaTheme="minorEastAsia"/>
          <w:lang w:val="cs-CZ"/>
        </w:rPr>
        <w:t xml:space="preserve"> pro koordinaci odezvy na mimořádné události</w:t>
      </w:r>
    </w:p>
    <w:p w14:paraId="25F13973" w14:textId="77777777" w:rsidR="00B55BF0" w:rsidRPr="00284463" w:rsidRDefault="00B55BF0" w:rsidP="00B55BF0">
      <w:pPr>
        <w:spacing w:line="360" w:lineRule="auto"/>
        <w:rPr>
          <w:lang w:val="cs-CZ"/>
        </w:rPr>
      </w:pPr>
      <w:r w:rsidRPr="00284463">
        <w:rPr>
          <w:lang w:val="cs-CZ"/>
        </w:rPr>
        <w:t>ESDC – Evropská bezpečnostní a obranná univerzita</w:t>
      </w:r>
    </w:p>
    <w:p w14:paraId="3235BF01" w14:textId="77777777" w:rsidR="00B55BF0" w:rsidRPr="00284463" w:rsidRDefault="00B55BF0" w:rsidP="00B55BF0">
      <w:pPr>
        <w:spacing w:line="360" w:lineRule="auto"/>
        <w:rPr>
          <w:lang w:val="cs-CZ"/>
        </w:rPr>
      </w:pPr>
      <w:r w:rsidRPr="00284463">
        <w:rPr>
          <w:lang w:val="cs-CZ"/>
        </w:rPr>
        <w:t>ESVA – Evropské služby vnější akce</w:t>
      </w:r>
    </w:p>
    <w:p w14:paraId="52ED551D" w14:textId="77777777" w:rsidR="00B55BF0" w:rsidRPr="00284463" w:rsidRDefault="00B55BF0" w:rsidP="00B55BF0">
      <w:pPr>
        <w:spacing w:line="360" w:lineRule="auto"/>
        <w:rPr>
          <w:shd w:val="clear" w:color="auto" w:fill="FFFFFF"/>
          <w:lang w:val="cs-CZ"/>
        </w:rPr>
      </w:pPr>
      <w:r w:rsidRPr="00284463">
        <w:rPr>
          <w:lang w:val="cs-CZ"/>
        </w:rPr>
        <w:t>EU – Evropská unie</w:t>
      </w:r>
    </w:p>
    <w:p w14:paraId="75E72BDF" w14:textId="77777777" w:rsidR="00B55BF0" w:rsidRPr="00284463" w:rsidRDefault="00B55BF0" w:rsidP="00B55BF0">
      <w:pPr>
        <w:spacing w:line="360" w:lineRule="auto"/>
        <w:rPr>
          <w:shd w:val="clear" w:color="auto" w:fill="FFFFFF"/>
          <w:lang w:val="cs-CZ"/>
        </w:rPr>
      </w:pPr>
      <w:r w:rsidRPr="00284463">
        <w:rPr>
          <w:shd w:val="clear" w:color="auto" w:fill="FFFFFF"/>
          <w:lang w:val="cs-CZ"/>
        </w:rPr>
        <w:t>EUAM Ukraine – Poradní mise EU na Ukrajině</w:t>
      </w:r>
    </w:p>
    <w:p w14:paraId="408B1142" w14:textId="1A5A8B7E" w:rsidR="00B55BF0" w:rsidRPr="00284463" w:rsidRDefault="00B55BF0" w:rsidP="00B55BF0">
      <w:pPr>
        <w:spacing w:line="360" w:lineRule="auto"/>
        <w:rPr>
          <w:lang w:val="cs-CZ"/>
        </w:rPr>
      </w:pPr>
      <w:r w:rsidRPr="00284463">
        <w:rPr>
          <w:lang w:val="cs-CZ"/>
        </w:rPr>
        <w:t>EUCAP Sahel Niger</w:t>
      </w:r>
      <w:r w:rsidR="00C54575" w:rsidRPr="00284463">
        <w:rPr>
          <w:lang w:val="cs-CZ"/>
        </w:rPr>
        <w:t xml:space="preserve"> - c</w:t>
      </w:r>
      <w:r w:rsidR="000C3712" w:rsidRPr="00284463">
        <w:rPr>
          <w:lang w:val="cs-CZ"/>
        </w:rPr>
        <w:t>ivilní mise v Somálsku</w:t>
      </w:r>
    </w:p>
    <w:p w14:paraId="3221E592" w14:textId="77777777" w:rsidR="00B55BF0" w:rsidRPr="00284463" w:rsidRDefault="00B55BF0" w:rsidP="00B55BF0">
      <w:pPr>
        <w:spacing w:line="360" w:lineRule="auto"/>
        <w:rPr>
          <w:lang w:val="cs-CZ"/>
        </w:rPr>
      </w:pPr>
      <w:r w:rsidRPr="00284463">
        <w:rPr>
          <w:lang w:val="cs-CZ"/>
        </w:rPr>
        <w:t xml:space="preserve">EUMM Georgia – </w:t>
      </w:r>
      <w:r w:rsidRPr="00284463">
        <w:rPr>
          <w:shd w:val="clear" w:color="auto" w:fill="FFFFFF"/>
          <w:lang w:val="cs-CZ"/>
        </w:rPr>
        <w:t>pozorovatelská mise Evropské unie v Gruzii</w:t>
      </w:r>
    </w:p>
    <w:p w14:paraId="5970EEA6" w14:textId="77777777" w:rsidR="00B55BF0" w:rsidRPr="00284463" w:rsidRDefault="00B55BF0" w:rsidP="00B55BF0">
      <w:pPr>
        <w:spacing w:line="360" w:lineRule="auto"/>
        <w:rPr>
          <w:lang w:val="cs-CZ"/>
        </w:rPr>
      </w:pPr>
      <w:r w:rsidRPr="00284463">
        <w:rPr>
          <w:lang w:val="cs-CZ"/>
        </w:rPr>
        <w:t>EUROJUST – Jednotka</w:t>
      </w:r>
      <w:r w:rsidRPr="00284463">
        <w:rPr>
          <w:iCs/>
          <w:lang w:val="cs-CZ"/>
        </w:rPr>
        <w:t xml:space="preserve"> Evropské unie pro justiční spolupráci</w:t>
      </w:r>
    </w:p>
    <w:p w14:paraId="5C8043A0" w14:textId="77777777" w:rsidR="00B55BF0" w:rsidRPr="00284463" w:rsidRDefault="00B55BF0" w:rsidP="00B55BF0">
      <w:pPr>
        <w:spacing w:line="360" w:lineRule="auto"/>
        <w:rPr>
          <w:lang w:val="cs-CZ"/>
        </w:rPr>
      </w:pPr>
      <w:r w:rsidRPr="00284463">
        <w:rPr>
          <w:lang w:val="cs-CZ"/>
        </w:rPr>
        <w:t xml:space="preserve">EUSR – </w:t>
      </w:r>
      <w:r w:rsidRPr="00284463">
        <w:rPr>
          <w:shd w:val="clear" w:color="auto" w:fill="FFFFFF"/>
          <w:lang w:val="cs-CZ"/>
        </w:rPr>
        <w:t>Úřad zvláštního představitele EU</w:t>
      </w:r>
    </w:p>
    <w:p w14:paraId="3FAF2B7D" w14:textId="77777777" w:rsidR="00B55BF0" w:rsidRPr="00284463" w:rsidRDefault="00B55BF0" w:rsidP="00B55BF0">
      <w:pPr>
        <w:spacing w:line="360" w:lineRule="auto"/>
        <w:rPr>
          <w:lang w:val="cs-CZ"/>
        </w:rPr>
      </w:pPr>
      <w:r w:rsidRPr="00284463">
        <w:rPr>
          <w:lang w:val="cs-CZ"/>
        </w:rPr>
        <w:t>EUTM-M – 13</w:t>
      </w:r>
      <w:r w:rsidRPr="00284463">
        <w:rPr>
          <w:bCs/>
          <w:bdr w:val="none" w:sz="0" w:space="0" w:color="auto" w:frame="1"/>
          <w:lang w:val="cs-CZ"/>
        </w:rPr>
        <w:t>. úkolové uskupení</w:t>
      </w:r>
    </w:p>
    <w:p w14:paraId="3E24367F" w14:textId="77777777" w:rsidR="00B55BF0" w:rsidRPr="00284463" w:rsidRDefault="00B55BF0" w:rsidP="00B55BF0">
      <w:pPr>
        <w:spacing w:line="360" w:lineRule="auto"/>
        <w:rPr>
          <w:lang w:val="cs-CZ"/>
        </w:rPr>
      </w:pPr>
      <w:r w:rsidRPr="00284463">
        <w:rPr>
          <w:lang w:val="cs-CZ"/>
        </w:rPr>
        <w:t>FoRS – České</w:t>
      </w:r>
      <w:r w:rsidRPr="00284463">
        <w:rPr>
          <w:bCs/>
          <w:lang w:val="cs-CZ"/>
        </w:rPr>
        <w:t xml:space="preserve"> fórum pro rozvojovou</w:t>
      </w:r>
      <w:r w:rsidRPr="00284463">
        <w:rPr>
          <w:shd w:val="clear" w:color="auto" w:fill="FFFFFF"/>
          <w:lang w:val="cs-CZ"/>
        </w:rPr>
        <w:t> spolupráci</w:t>
      </w:r>
    </w:p>
    <w:p w14:paraId="0E4B890C" w14:textId="77777777" w:rsidR="00B55BF0" w:rsidRPr="00284463" w:rsidRDefault="00B55BF0" w:rsidP="00B55BF0">
      <w:pPr>
        <w:spacing w:line="360" w:lineRule="auto"/>
        <w:rPr>
          <w:lang w:val="cs-CZ"/>
        </w:rPr>
      </w:pPr>
      <w:r w:rsidRPr="00284463">
        <w:rPr>
          <w:lang w:val="cs-CZ"/>
        </w:rPr>
        <w:t>FRONTEX – Evropská</w:t>
      </w:r>
      <w:r w:rsidRPr="00284463">
        <w:rPr>
          <w:shd w:val="clear" w:color="auto" w:fill="FFFFFF"/>
          <w:lang w:val="cs-CZ"/>
        </w:rPr>
        <w:t xml:space="preserve"> agentura pro pohraniční a pobřežní stráž</w:t>
      </w:r>
    </w:p>
    <w:p w14:paraId="02D53BD9" w14:textId="77777777" w:rsidR="00B55BF0" w:rsidRPr="00284463" w:rsidRDefault="00B55BF0" w:rsidP="00B55BF0">
      <w:pPr>
        <w:spacing w:line="360" w:lineRule="auto"/>
        <w:rPr>
          <w:lang w:val="cs-CZ"/>
        </w:rPr>
      </w:pPr>
      <w:r w:rsidRPr="00284463">
        <w:rPr>
          <w:lang w:val="cs-CZ"/>
        </w:rPr>
        <w:t xml:space="preserve">ICCPR – </w:t>
      </w:r>
      <w:r w:rsidRPr="00284463">
        <w:rPr>
          <w:shd w:val="clear" w:color="auto" w:fill="FFFFFF"/>
          <w:lang w:val="cs-CZ"/>
        </w:rPr>
        <w:t>Mezinárodní pakt o občanských a politických právech</w:t>
      </w:r>
    </w:p>
    <w:p w14:paraId="4965A6EF" w14:textId="77777777" w:rsidR="00B55BF0" w:rsidRPr="00284463" w:rsidRDefault="00B55BF0" w:rsidP="00B55BF0">
      <w:pPr>
        <w:spacing w:line="360" w:lineRule="auto"/>
        <w:rPr>
          <w:lang w:val="cs-CZ"/>
        </w:rPr>
      </w:pPr>
      <w:r w:rsidRPr="00284463">
        <w:rPr>
          <w:lang w:val="cs-CZ"/>
        </w:rPr>
        <w:t>ICOAF – mezinárodní</w:t>
      </w:r>
      <w:r w:rsidRPr="00284463">
        <w:rPr>
          <w:shd w:val="clear" w:color="auto" w:fill="FFFFFF"/>
          <w:lang w:val="cs-CZ"/>
        </w:rPr>
        <w:t xml:space="preserve"> konference ombudsmanských institucí pro ozbrojené síly</w:t>
      </w:r>
    </w:p>
    <w:p w14:paraId="5BC1F405" w14:textId="77777777" w:rsidR="00B55BF0" w:rsidRPr="00284463" w:rsidRDefault="00B55BF0" w:rsidP="00B55BF0">
      <w:pPr>
        <w:spacing w:line="360" w:lineRule="auto"/>
        <w:rPr>
          <w:lang w:val="cs-CZ"/>
        </w:rPr>
      </w:pPr>
      <w:r w:rsidRPr="00284463">
        <w:rPr>
          <w:lang w:val="cs-CZ"/>
        </w:rPr>
        <w:t>ICRC – Mezinárodní výbor Červeného kříže</w:t>
      </w:r>
    </w:p>
    <w:p w14:paraId="3ABB4274" w14:textId="77777777" w:rsidR="00B55BF0" w:rsidRPr="00284463" w:rsidRDefault="00B55BF0" w:rsidP="00B55BF0">
      <w:pPr>
        <w:spacing w:line="360" w:lineRule="auto"/>
        <w:rPr>
          <w:lang w:val="cs-CZ"/>
        </w:rPr>
      </w:pPr>
      <w:r w:rsidRPr="00284463">
        <w:rPr>
          <w:lang w:val="cs-CZ"/>
        </w:rPr>
        <w:t>INESAN – Institut</w:t>
      </w:r>
      <w:r w:rsidRPr="00284463">
        <w:rPr>
          <w:shd w:val="clear" w:color="auto" w:fill="FFFFFF"/>
          <w:lang w:val="cs-CZ"/>
        </w:rPr>
        <w:t xml:space="preserve"> evaluací a sociálních analýz</w:t>
      </w:r>
    </w:p>
    <w:p w14:paraId="3CF11F6D" w14:textId="77777777" w:rsidR="00B55BF0" w:rsidRPr="00284463" w:rsidRDefault="00B55BF0" w:rsidP="00B55BF0">
      <w:pPr>
        <w:spacing w:line="360" w:lineRule="auto"/>
        <w:rPr>
          <w:lang w:val="cs-CZ"/>
        </w:rPr>
      </w:pPr>
      <w:r w:rsidRPr="00284463">
        <w:rPr>
          <w:lang w:val="cs-CZ"/>
        </w:rPr>
        <w:lastRenderedPageBreak/>
        <w:t>IOM – Mezinárodní organizace pro migraci</w:t>
      </w:r>
    </w:p>
    <w:p w14:paraId="094F76C9" w14:textId="456FE5E5" w:rsidR="00B55BF0" w:rsidRPr="00284463" w:rsidRDefault="00B55BF0" w:rsidP="00B55BF0">
      <w:pPr>
        <w:spacing w:line="360" w:lineRule="auto"/>
        <w:rPr>
          <w:lang w:val="cs-CZ"/>
        </w:rPr>
      </w:pPr>
      <w:r w:rsidRPr="00284463">
        <w:rPr>
          <w:lang w:val="cs-CZ"/>
        </w:rPr>
        <w:t xml:space="preserve">ISSP – </w:t>
      </w:r>
      <w:r w:rsidR="00ED6CE1" w:rsidRPr="00284463">
        <w:rPr>
          <w:lang w:val="cs-CZ"/>
        </w:rPr>
        <w:t>Integrovaný subsystém o službě a personálu</w:t>
      </w:r>
    </w:p>
    <w:p w14:paraId="488CBCDC" w14:textId="77777777" w:rsidR="00B55BF0" w:rsidRPr="00284463" w:rsidRDefault="00B55BF0" w:rsidP="00B55BF0">
      <w:pPr>
        <w:spacing w:line="360" w:lineRule="auto"/>
        <w:rPr>
          <w:lang w:val="cs-CZ"/>
        </w:rPr>
      </w:pPr>
      <w:r w:rsidRPr="00284463">
        <w:rPr>
          <w:lang w:val="cs-CZ"/>
        </w:rPr>
        <w:t>JPO – Junior Professional Officer</w:t>
      </w:r>
    </w:p>
    <w:p w14:paraId="5A361478" w14:textId="069870FF" w:rsidR="00B55BF0" w:rsidRPr="00284463" w:rsidRDefault="00B55BF0" w:rsidP="00B55BF0">
      <w:pPr>
        <w:spacing w:line="360" w:lineRule="auto"/>
        <w:rPr>
          <w:lang w:val="cs-CZ"/>
        </w:rPr>
      </w:pPr>
      <w:r w:rsidRPr="00284463">
        <w:rPr>
          <w:lang w:val="cs-CZ"/>
        </w:rPr>
        <w:t>MINUSCA – Stabilizační</w:t>
      </w:r>
      <w:r w:rsidR="00C54575" w:rsidRPr="00284463">
        <w:rPr>
          <w:shd w:val="clear" w:color="auto" w:fill="FFFFFF"/>
          <w:lang w:val="cs-CZ"/>
        </w:rPr>
        <w:t xml:space="preserve"> mise OSN ve S</w:t>
      </w:r>
      <w:r w:rsidRPr="00284463">
        <w:rPr>
          <w:shd w:val="clear" w:color="auto" w:fill="FFFFFF"/>
          <w:lang w:val="cs-CZ"/>
        </w:rPr>
        <w:t>tředoafrické republice</w:t>
      </w:r>
    </w:p>
    <w:p w14:paraId="67BC238C" w14:textId="77777777" w:rsidR="00B55BF0" w:rsidRPr="00284463" w:rsidRDefault="00B55BF0" w:rsidP="00B55BF0">
      <w:pPr>
        <w:spacing w:line="360" w:lineRule="auto"/>
        <w:rPr>
          <w:lang w:val="cs-CZ"/>
        </w:rPr>
      </w:pPr>
      <w:r w:rsidRPr="00284463">
        <w:rPr>
          <w:lang w:val="cs-CZ"/>
        </w:rPr>
        <w:t>MO – Ministerstvo obrany</w:t>
      </w:r>
    </w:p>
    <w:p w14:paraId="37AC978A" w14:textId="77777777" w:rsidR="00B55BF0" w:rsidRPr="00284463" w:rsidRDefault="00B55BF0" w:rsidP="00B55BF0">
      <w:pPr>
        <w:spacing w:line="360" w:lineRule="auto"/>
        <w:rPr>
          <w:lang w:val="cs-CZ"/>
        </w:rPr>
      </w:pPr>
      <w:r w:rsidRPr="00284463">
        <w:rPr>
          <w:lang w:val="cs-CZ"/>
        </w:rPr>
        <w:t>MONUSCO – Stabilizační</w:t>
      </w:r>
      <w:r w:rsidRPr="00284463">
        <w:rPr>
          <w:shd w:val="clear" w:color="auto" w:fill="FFFFFF"/>
          <w:lang w:val="cs-CZ"/>
        </w:rPr>
        <w:t xml:space="preserve"> mise OSN v Konžské demokratické republice</w:t>
      </w:r>
    </w:p>
    <w:p w14:paraId="733E4F43" w14:textId="77777777" w:rsidR="00B55BF0" w:rsidRPr="00284463" w:rsidRDefault="00B55BF0" w:rsidP="00B55BF0">
      <w:pPr>
        <w:spacing w:line="360" w:lineRule="auto"/>
        <w:rPr>
          <w:lang w:val="cs-CZ"/>
        </w:rPr>
      </w:pPr>
      <w:r w:rsidRPr="00284463">
        <w:rPr>
          <w:lang w:val="cs-CZ"/>
        </w:rPr>
        <w:t>MV – Ministerstvo vnitra</w:t>
      </w:r>
    </w:p>
    <w:p w14:paraId="3873BE24" w14:textId="77777777" w:rsidR="00B55BF0" w:rsidRPr="00284463" w:rsidRDefault="00B55BF0" w:rsidP="00B55BF0">
      <w:pPr>
        <w:spacing w:line="360" w:lineRule="auto"/>
        <w:rPr>
          <w:lang w:val="cs-CZ"/>
        </w:rPr>
      </w:pPr>
      <w:r w:rsidRPr="00284463">
        <w:rPr>
          <w:lang w:val="cs-CZ"/>
        </w:rPr>
        <w:t>MZV – Ministerstvo zahraničních věcí</w:t>
      </w:r>
    </w:p>
    <w:p w14:paraId="4B524E35" w14:textId="77777777" w:rsidR="00B55BF0" w:rsidRPr="00284463" w:rsidRDefault="00B55BF0" w:rsidP="00B55BF0">
      <w:pPr>
        <w:spacing w:line="360" w:lineRule="auto"/>
        <w:rPr>
          <w:lang w:val="cs-CZ"/>
        </w:rPr>
      </w:pPr>
      <w:r w:rsidRPr="00284463">
        <w:rPr>
          <w:lang w:val="cs-CZ"/>
        </w:rPr>
        <w:t xml:space="preserve">NATO – Severoatlantická aliance </w:t>
      </w:r>
    </w:p>
    <w:p w14:paraId="2F8F2D02" w14:textId="77777777" w:rsidR="00B55BF0" w:rsidRPr="00284463" w:rsidRDefault="00B55BF0" w:rsidP="00B55BF0">
      <w:pPr>
        <w:spacing w:line="360" w:lineRule="auto"/>
        <w:rPr>
          <w:lang w:val="cs-CZ"/>
        </w:rPr>
      </w:pPr>
      <w:r w:rsidRPr="00284463">
        <w:rPr>
          <w:lang w:val="cs-CZ"/>
        </w:rPr>
        <w:t>NCGP – Výbor NATO pro genderové perspektivy</w:t>
      </w:r>
    </w:p>
    <w:p w14:paraId="22BE72D4" w14:textId="77777777" w:rsidR="00B55BF0" w:rsidRPr="00284463" w:rsidRDefault="00B55BF0" w:rsidP="00B55BF0">
      <w:pPr>
        <w:spacing w:line="360" w:lineRule="auto"/>
        <w:rPr>
          <w:lang w:val="cs-CZ"/>
        </w:rPr>
      </w:pPr>
      <w:r w:rsidRPr="00284463">
        <w:rPr>
          <w:lang w:val="cs-CZ"/>
        </w:rPr>
        <w:t>NCOZ – Národní</w:t>
      </w:r>
      <w:r w:rsidRPr="00284463">
        <w:rPr>
          <w:shd w:val="clear" w:color="auto" w:fill="FFFFFF"/>
          <w:lang w:val="cs-CZ"/>
        </w:rPr>
        <w:t xml:space="preserve"> centrála proti organizovanému zločinu</w:t>
      </w:r>
    </w:p>
    <w:p w14:paraId="7F480554" w14:textId="3D11BC8A" w:rsidR="00B55BF0" w:rsidRPr="00284463" w:rsidRDefault="00B55BF0" w:rsidP="00B55BF0">
      <w:pPr>
        <w:spacing w:line="360" w:lineRule="auto"/>
        <w:rPr>
          <w:lang w:val="cs-CZ"/>
        </w:rPr>
      </w:pPr>
      <w:r w:rsidRPr="00284463">
        <w:rPr>
          <w:lang w:val="cs-CZ"/>
        </w:rPr>
        <w:t xml:space="preserve">NLO – Styčná kancelář NATO </w:t>
      </w:r>
    </w:p>
    <w:p w14:paraId="09017150" w14:textId="77777777" w:rsidR="00B55BF0" w:rsidRPr="00284463" w:rsidRDefault="00B55BF0" w:rsidP="00B55BF0">
      <w:pPr>
        <w:spacing w:line="360" w:lineRule="auto"/>
        <w:rPr>
          <w:lang w:val="cs-CZ"/>
        </w:rPr>
      </w:pPr>
      <w:r w:rsidRPr="00284463">
        <w:rPr>
          <w:lang w:val="cs-CZ"/>
        </w:rPr>
        <w:t>NNO – Nestátní neziskové organizace</w:t>
      </w:r>
    </w:p>
    <w:p w14:paraId="1764BF0A" w14:textId="77777777" w:rsidR="00B55BF0" w:rsidRPr="00284463" w:rsidRDefault="00B55BF0" w:rsidP="00B55BF0">
      <w:pPr>
        <w:spacing w:line="360" w:lineRule="auto"/>
        <w:rPr>
          <w:lang w:val="cs-CZ"/>
        </w:rPr>
      </w:pPr>
      <w:r w:rsidRPr="00284463">
        <w:rPr>
          <w:lang w:val="cs-CZ"/>
        </w:rPr>
        <w:t>OBSE – Organizace pro bezpečnost a spolupráci v Evropě</w:t>
      </w:r>
    </w:p>
    <w:p w14:paraId="0F01A639" w14:textId="77777777" w:rsidR="00B55BF0" w:rsidRPr="00284463" w:rsidRDefault="00B55BF0" w:rsidP="00B55BF0">
      <w:pPr>
        <w:spacing w:line="360" w:lineRule="auto"/>
        <w:rPr>
          <w:lang w:val="cs-CZ"/>
        </w:rPr>
      </w:pPr>
      <w:r w:rsidRPr="00284463">
        <w:rPr>
          <w:lang w:val="cs-CZ"/>
        </w:rPr>
        <w:t>ODIHR – Úřad</w:t>
      </w:r>
      <w:r w:rsidRPr="00284463">
        <w:rPr>
          <w:bCs/>
          <w:shd w:val="clear" w:color="auto" w:fill="FFFFFF"/>
          <w:lang w:val="cs-CZ"/>
        </w:rPr>
        <w:t xml:space="preserve"> pro demokratické instituce a lidská práva</w:t>
      </w:r>
    </w:p>
    <w:p w14:paraId="4D52860A" w14:textId="77777777" w:rsidR="00B55BF0" w:rsidRPr="00284463" w:rsidRDefault="00B55BF0" w:rsidP="00B55BF0">
      <w:pPr>
        <w:spacing w:line="360" w:lineRule="auto"/>
        <w:rPr>
          <w:lang w:val="cs-CZ"/>
        </w:rPr>
      </w:pPr>
      <w:r w:rsidRPr="00284463">
        <w:rPr>
          <w:lang w:val="cs-CZ"/>
        </w:rPr>
        <w:t>OHCHR – Úřad vysokého komisaře pro lidská práva</w:t>
      </w:r>
    </w:p>
    <w:p w14:paraId="71ED0359" w14:textId="77777777" w:rsidR="00B55BF0" w:rsidRPr="00284463" w:rsidRDefault="00B55BF0" w:rsidP="00B55BF0">
      <w:pPr>
        <w:spacing w:line="360" w:lineRule="auto"/>
        <w:rPr>
          <w:lang w:val="cs-CZ"/>
        </w:rPr>
      </w:pPr>
      <w:r w:rsidRPr="00284463">
        <w:rPr>
          <w:lang w:val="cs-CZ"/>
        </w:rPr>
        <w:t>OKST – Odbor kanceláře státního tajemníka a koncepčního řízení ve věcech služby</w:t>
      </w:r>
    </w:p>
    <w:p w14:paraId="2CA665BE" w14:textId="77777777" w:rsidR="00B55BF0" w:rsidRPr="00284463" w:rsidRDefault="00B55BF0" w:rsidP="00B55BF0">
      <w:pPr>
        <w:spacing w:line="360" w:lineRule="auto"/>
        <w:rPr>
          <w:lang w:val="cs-CZ"/>
        </w:rPr>
      </w:pPr>
      <w:r w:rsidRPr="00284463">
        <w:rPr>
          <w:lang w:val="cs-CZ"/>
        </w:rPr>
        <w:t>OSN – Organizace spojených národů</w:t>
      </w:r>
    </w:p>
    <w:p w14:paraId="0699FFF8" w14:textId="77777777" w:rsidR="00B55BF0" w:rsidRPr="00284463" w:rsidRDefault="00B55BF0" w:rsidP="00B55BF0">
      <w:pPr>
        <w:spacing w:line="360" w:lineRule="auto"/>
        <w:rPr>
          <w:lang w:val="cs-CZ"/>
        </w:rPr>
      </w:pPr>
      <w:r w:rsidRPr="00284463">
        <w:rPr>
          <w:lang w:val="cs-CZ"/>
        </w:rPr>
        <w:t>OSPV – Odbor služebních a pracovněprávních věcí</w:t>
      </w:r>
    </w:p>
    <w:p w14:paraId="5CFD8DAE" w14:textId="77777777" w:rsidR="00B55BF0" w:rsidRPr="00284463" w:rsidRDefault="00B55BF0" w:rsidP="00B55BF0">
      <w:pPr>
        <w:spacing w:line="360" w:lineRule="auto"/>
        <w:rPr>
          <w:lang w:val="cs-CZ"/>
        </w:rPr>
      </w:pPr>
      <w:r w:rsidRPr="00284463">
        <w:rPr>
          <w:lang w:val="cs-CZ"/>
        </w:rPr>
        <w:t>PČR – Policie České republiky</w:t>
      </w:r>
    </w:p>
    <w:p w14:paraId="06313C15" w14:textId="06A448D5" w:rsidR="00B55BF0" w:rsidRPr="00284463" w:rsidRDefault="00054ACD" w:rsidP="00B55BF0">
      <w:pPr>
        <w:spacing w:line="360" w:lineRule="auto"/>
        <w:rPr>
          <w:lang w:val="cs-CZ"/>
        </w:rPr>
      </w:pPr>
      <w:r w:rsidRPr="00284463">
        <w:rPr>
          <w:lang w:val="cs-CZ"/>
        </w:rPr>
        <w:t>RB OSN – Rada bezpečnosti</w:t>
      </w:r>
      <w:r w:rsidR="00B55BF0" w:rsidRPr="00284463">
        <w:rPr>
          <w:lang w:val="cs-CZ"/>
        </w:rPr>
        <w:t xml:space="preserve"> Organizace spojených národů</w:t>
      </w:r>
    </w:p>
    <w:p w14:paraId="29DAAC60" w14:textId="77777777" w:rsidR="00B55BF0" w:rsidRPr="00284463" w:rsidRDefault="00B55BF0" w:rsidP="00B55BF0">
      <w:pPr>
        <w:spacing w:line="360" w:lineRule="auto"/>
        <w:rPr>
          <w:lang w:val="cs-CZ"/>
        </w:rPr>
      </w:pPr>
      <w:r w:rsidRPr="00284463">
        <w:rPr>
          <w:lang w:val="cs-CZ"/>
        </w:rPr>
        <w:t>RDPP – Regionální program rozvoje a ochrany</w:t>
      </w:r>
    </w:p>
    <w:p w14:paraId="4513A1F0" w14:textId="77777777" w:rsidR="00B55BF0" w:rsidRPr="00284463" w:rsidRDefault="00B55BF0" w:rsidP="00B55BF0">
      <w:pPr>
        <w:spacing w:line="360" w:lineRule="auto"/>
        <w:rPr>
          <w:lang w:val="cs-CZ"/>
        </w:rPr>
      </w:pPr>
      <w:r w:rsidRPr="00284463">
        <w:rPr>
          <w:lang w:val="cs-CZ"/>
        </w:rPr>
        <w:t>RLP – Rada OSN pro lidská práva</w:t>
      </w:r>
    </w:p>
    <w:p w14:paraId="1D383D78" w14:textId="77777777" w:rsidR="00B55BF0" w:rsidRPr="00284463" w:rsidRDefault="00B55BF0" w:rsidP="00B55BF0">
      <w:pPr>
        <w:spacing w:line="360" w:lineRule="auto"/>
        <w:rPr>
          <w:lang w:val="cs-CZ"/>
        </w:rPr>
      </w:pPr>
      <w:r w:rsidRPr="00284463">
        <w:rPr>
          <w:lang w:val="cs-CZ"/>
        </w:rPr>
        <w:t>SIP – Státní integrační program</w:t>
      </w:r>
    </w:p>
    <w:p w14:paraId="119AF0CD" w14:textId="77777777" w:rsidR="00B55BF0" w:rsidRPr="00284463" w:rsidRDefault="00B55BF0" w:rsidP="00B55BF0">
      <w:pPr>
        <w:spacing w:line="360" w:lineRule="auto"/>
        <w:rPr>
          <w:lang w:val="cs-CZ"/>
        </w:rPr>
      </w:pPr>
      <w:r w:rsidRPr="00284463">
        <w:rPr>
          <w:lang w:val="cs-CZ"/>
        </w:rPr>
        <w:t>SMM – Speciální monitorovací mise</w:t>
      </w:r>
    </w:p>
    <w:p w14:paraId="0014918A" w14:textId="77777777" w:rsidR="00B55BF0" w:rsidRPr="00284463" w:rsidRDefault="00B55BF0" w:rsidP="00B55BF0">
      <w:pPr>
        <w:spacing w:line="360" w:lineRule="auto"/>
        <w:rPr>
          <w:lang w:val="cs-CZ"/>
        </w:rPr>
      </w:pPr>
      <w:r w:rsidRPr="00284463">
        <w:rPr>
          <w:lang w:val="cs-CZ"/>
        </w:rPr>
        <w:t>SPŠ MV – Střední</w:t>
      </w:r>
      <w:r w:rsidRPr="00284463">
        <w:rPr>
          <w:bCs/>
          <w:lang w:val="cs-CZ"/>
        </w:rPr>
        <w:t xml:space="preserve"> policejní škola Ministerstva vnitra</w:t>
      </w:r>
    </w:p>
    <w:p w14:paraId="301FFCED" w14:textId="77777777" w:rsidR="00B55BF0" w:rsidRPr="00284463" w:rsidRDefault="00B55BF0" w:rsidP="00B55BF0">
      <w:pPr>
        <w:spacing w:line="360" w:lineRule="auto"/>
        <w:rPr>
          <w:lang w:val="cs-CZ"/>
        </w:rPr>
      </w:pPr>
      <w:r w:rsidRPr="00284463">
        <w:rPr>
          <w:lang w:val="cs-CZ"/>
        </w:rPr>
        <w:t>SR BAF – Strážní</w:t>
      </w:r>
      <w:r w:rsidRPr="00284463">
        <w:rPr>
          <w:shd w:val="clear" w:color="auto" w:fill="FFFFFF"/>
          <w:lang w:val="cs-CZ"/>
        </w:rPr>
        <w:t xml:space="preserve"> rota </w:t>
      </w:r>
      <w:r w:rsidRPr="00284463">
        <w:rPr>
          <w:bCs/>
          <w:lang w:val="cs-CZ"/>
        </w:rPr>
        <w:t>BAF</w:t>
      </w:r>
      <w:r w:rsidRPr="00284463">
        <w:rPr>
          <w:shd w:val="clear" w:color="auto" w:fill="FFFFFF"/>
          <w:lang w:val="cs-CZ"/>
        </w:rPr>
        <w:t> (</w:t>
      </w:r>
      <w:r w:rsidRPr="00284463">
        <w:rPr>
          <w:bCs/>
          <w:lang w:val="cs-CZ"/>
        </w:rPr>
        <w:t>BAF</w:t>
      </w:r>
      <w:r w:rsidRPr="00284463">
        <w:rPr>
          <w:shd w:val="clear" w:color="auto" w:fill="FFFFFF"/>
          <w:lang w:val="cs-CZ"/>
        </w:rPr>
        <w:t> – </w:t>
      </w:r>
      <w:r w:rsidRPr="00284463">
        <w:rPr>
          <w:bCs/>
          <w:lang w:val="cs-CZ"/>
        </w:rPr>
        <w:t>Bagram</w:t>
      </w:r>
      <w:r w:rsidRPr="00284463">
        <w:rPr>
          <w:shd w:val="clear" w:color="auto" w:fill="FFFFFF"/>
          <w:lang w:val="cs-CZ"/>
        </w:rPr>
        <w:t> Air Field)</w:t>
      </w:r>
    </w:p>
    <w:p w14:paraId="1343A0CD" w14:textId="77777777" w:rsidR="00B55BF0" w:rsidRPr="00284463" w:rsidRDefault="00B55BF0" w:rsidP="00B55BF0">
      <w:pPr>
        <w:spacing w:line="360" w:lineRule="auto"/>
        <w:rPr>
          <w:lang w:val="cs-CZ"/>
        </w:rPr>
      </w:pPr>
      <w:r w:rsidRPr="00284463">
        <w:rPr>
          <w:lang w:val="cs-CZ"/>
        </w:rPr>
        <w:t>TAČR – Technologická</w:t>
      </w:r>
      <w:r w:rsidRPr="00284463">
        <w:rPr>
          <w:shd w:val="clear" w:color="auto" w:fill="FFFFFF"/>
          <w:lang w:val="cs-CZ"/>
        </w:rPr>
        <w:t xml:space="preserve"> agentura ČR</w:t>
      </w:r>
    </w:p>
    <w:p w14:paraId="247C9D42" w14:textId="77777777" w:rsidR="00B55BF0" w:rsidRPr="00284463" w:rsidRDefault="00B55BF0" w:rsidP="00B55BF0">
      <w:pPr>
        <w:spacing w:line="360" w:lineRule="auto"/>
        <w:rPr>
          <w:lang w:val="cs-CZ"/>
        </w:rPr>
      </w:pPr>
      <w:r w:rsidRPr="00284463">
        <w:rPr>
          <w:lang w:val="cs-CZ"/>
        </w:rPr>
        <w:t>ÚMV – Ústav</w:t>
      </w:r>
      <w:r w:rsidRPr="00284463">
        <w:rPr>
          <w:bCs/>
          <w:lang w:val="cs-CZ"/>
        </w:rPr>
        <w:t xml:space="preserve"> mezinárodních vztahů</w:t>
      </w:r>
    </w:p>
    <w:p w14:paraId="5BA9BD13" w14:textId="1DF3ACF0" w:rsidR="00B55BF0" w:rsidRPr="00284463" w:rsidRDefault="00B55BF0" w:rsidP="00021AA0">
      <w:pPr>
        <w:spacing w:line="360" w:lineRule="auto"/>
        <w:rPr>
          <w:lang w:val="cs-CZ"/>
        </w:rPr>
      </w:pPr>
      <w:r w:rsidRPr="00284463">
        <w:rPr>
          <w:lang w:val="cs-CZ"/>
        </w:rPr>
        <w:t>UN –</w:t>
      </w:r>
      <w:r w:rsidR="00021AA0" w:rsidRPr="00284463">
        <w:rPr>
          <w:lang w:val="cs-CZ"/>
        </w:rPr>
        <w:t xml:space="preserve"> Organizace spojených národů (</w:t>
      </w:r>
      <w:r w:rsidR="004C7280" w:rsidRPr="00284463">
        <w:rPr>
          <w:lang w:val="cs-CZ"/>
        </w:rPr>
        <w:t xml:space="preserve">tzv. </w:t>
      </w:r>
      <w:r w:rsidR="00021AA0" w:rsidRPr="00284463">
        <w:rPr>
          <w:lang w:val="cs-CZ"/>
        </w:rPr>
        <w:t>United Nations)</w:t>
      </w:r>
    </w:p>
    <w:p w14:paraId="19C7626A" w14:textId="20AB6C9E" w:rsidR="00B55BF0" w:rsidRPr="00284463" w:rsidRDefault="00B55BF0" w:rsidP="00B55BF0">
      <w:pPr>
        <w:spacing w:line="360" w:lineRule="auto"/>
        <w:rPr>
          <w:lang w:val="cs-CZ"/>
        </w:rPr>
      </w:pPr>
      <w:r w:rsidRPr="00284463">
        <w:rPr>
          <w:lang w:val="cs-CZ"/>
        </w:rPr>
        <w:t>UNCPTM – Předvýjezdové materiály OSN (</w:t>
      </w:r>
      <w:r w:rsidR="00054ACD" w:rsidRPr="00284463">
        <w:rPr>
          <w:lang w:val="cs-CZ"/>
        </w:rPr>
        <w:t xml:space="preserve">tzv. </w:t>
      </w:r>
      <w:r w:rsidRPr="00284463">
        <w:rPr>
          <w:lang w:val="cs-CZ"/>
        </w:rPr>
        <w:t>United Nations Core Predeployment Training Materials)</w:t>
      </w:r>
    </w:p>
    <w:p w14:paraId="11172E30" w14:textId="77777777" w:rsidR="00B55BF0" w:rsidRPr="00284463" w:rsidRDefault="00B55BF0" w:rsidP="00B55BF0">
      <w:pPr>
        <w:spacing w:line="360" w:lineRule="auto"/>
        <w:rPr>
          <w:lang w:val="cs-CZ"/>
        </w:rPr>
      </w:pPr>
      <w:r w:rsidRPr="00284463">
        <w:rPr>
          <w:lang w:val="cs-CZ"/>
        </w:rPr>
        <w:t>UNDOF – Pozorovatelská</w:t>
      </w:r>
      <w:r w:rsidRPr="00284463">
        <w:rPr>
          <w:shd w:val="clear" w:color="auto" w:fill="FFFFFF"/>
          <w:lang w:val="cs-CZ"/>
        </w:rPr>
        <w:t xml:space="preserve"> mise OSN pro uvolňování napětí</w:t>
      </w:r>
    </w:p>
    <w:p w14:paraId="4153AB53" w14:textId="77777777" w:rsidR="00B55BF0" w:rsidRPr="00284463" w:rsidRDefault="00B55BF0" w:rsidP="00B55BF0">
      <w:pPr>
        <w:spacing w:line="360" w:lineRule="auto"/>
        <w:rPr>
          <w:lang w:val="cs-CZ"/>
        </w:rPr>
      </w:pPr>
      <w:r w:rsidRPr="00284463">
        <w:rPr>
          <w:lang w:val="cs-CZ"/>
        </w:rPr>
        <w:t>UNIDO – Organizace</w:t>
      </w:r>
      <w:r w:rsidRPr="00284463">
        <w:rPr>
          <w:bCs/>
          <w:lang w:val="cs-CZ"/>
        </w:rPr>
        <w:t xml:space="preserve"> OSN pro průmyslový rozvoj</w:t>
      </w:r>
    </w:p>
    <w:p w14:paraId="41E0585C" w14:textId="77777777" w:rsidR="00B55BF0" w:rsidRPr="00284463" w:rsidRDefault="00B55BF0" w:rsidP="00B55BF0">
      <w:pPr>
        <w:spacing w:line="360" w:lineRule="auto"/>
        <w:rPr>
          <w:lang w:val="cs-CZ"/>
        </w:rPr>
      </w:pPr>
      <w:r w:rsidRPr="00284463">
        <w:rPr>
          <w:lang w:val="cs-CZ"/>
        </w:rPr>
        <w:lastRenderedPageBreak/>
        <w:t xml:space="preserve">UNMAS – Centrum pro </w:t>
      </w:r>
      <w:r w:rsidRPr="00284463">
        <w:rPr>
          <w:shd w:val="clear" w:color="auto" w:fill="FFFFFF"/>
          <w:lang w:val="cs-CZ"/>
        </w:rPr>
        <w:t>odstraňování min OSN</w:t>
      </w:r>
    </w:p>
    <w:p w14:paraId="56AA86A8" w14:textId="77777777" w:rsidR="00B55BF0" w:rsidRPr="00284463" w:rsidRDefault="00B55BF0" w:rsidP="00B55BF0">
      <w:pPr>
        <w:spacing w:line="360" w:lineRule="auto"/>
        <w:rPr>
          <w:lang w:val="cs-CZ"/>
        </w:rPr>
      </w:pPr>
      <w:r w:rsidRPr="00284463">
        <w:rPr>
          <w:lang w:val="cs-CZ"/>
        </w:rPr>
        <w:t>UNMIK – Mise OSN v Kosovu</w:t>
      </w:r>
    </w:p>
    <w:p w14:paraId="66FCAE93" w14:textId="77777777" w:rsidR="00B55BF0" w:rsidRPr="00284463" w:rsidRDefault="00B55BF0" w:rsidP="00B55BF0">
      <w:pPr>
        <w:spacing w:line="360" w:lineRule="auto"/>
        <w:rPr>
          <w:lang w:val="cs-CZ"/>
        </w:rPr>
      </w:pPr>
      <w:r w:rsidRPr="00284463">
        <w:rPr>
          <w:lang w:val="cs-CZ"/>
        </w:rPr>
        <w:t>UNSCR – Rezoluce Rady bezpečnosti OSN</w:t>
      </w:r>
    </w:p>
    <w:p w14:paraId="06C22B8D" w14:textId="77777777" w:rsidR="00B55BF0" w:rsidRPr="00284463" w:rsidRDefault="00B55BF0" w:rsidP="00B55BF0">
      <w:pPr>
        <w:spacing w:line="360" w:lineRule="auto"/>
        <w:rPr>
          <w:lang w:val="cs-CZ"/>
        </w:rPr>
      </w:pPr>
      <w:r w:rsidRPr="00284463">
        <w:rPr>
          <w:lang w:val="cs-CZ"/>
        </w:rPr>
        <w:t>UO – Univerzita obrany v Brně</w:t>
      </w:r>
    </w:p>
    <w:p w14:paraId="620D7425" w14:textId="77777777" w:rsidR="00B55BF0" w:rsidRPr="00284463" w:rsidRDefault="00B55BF0" w:rsidP="00B55BF0">
      <w:pPr>
        <w:spacing w:line="360" w:lineRule="auto"/>
        <w:rPr>
          <w:lang w:val="cs-CZ"/>
        </w:rPr>
      </w:pPr>
      <w:r w:rsidRPr="00284463">
        <w:rPr>
          <w:lang w:val="cs-CZ"/>
        </w:rPr>
        <w:t>UPR – Univerzální periodický přezkum</w:t>
      </w:r>
    </w:p>
    <w:p w14:paraId="392DAAED" w14:textId="77777777" w:rsidR="00B55BF0" w:rsidRPr="00284463" w:rsidRDefault="00B55BF0" w:rsidP="00B55BF0">
      <w:pPr>
        <w:spacing w:line="360" w:lineRule="auto"/>
        <w:rPr>
          <w:lang w:val="cs-CZ"/>
        </w:rPr>
      </w:pPr>
      <w:r w:rsidRPr="00284463">
        <w:rPr>
          <w:lang w:val="cs-CZ"/>
        </w:rPr>
        <w:t>ÚU AČR Irák – Úkolové</w:t>
      </w:r>
      <w:r w:rsidRPr="00284463">
        <w:rPr>
          <w:shd w:val="clear" w:color="auto" w:fill="FFFFFF"/>
          <w:lang w:val="cs-CZ"/>
        </w:rPr>
        <w:t xml:space="preserve"> uskupení AČR Irák</w:t>
      </w:r>
      <w:r w:rsidRPr="00284463">
        <w:rPr>
          <w:lang w:val="cs-CZ"/>
        </w:rPr>
        <w:t xml:space="preserve"> </w:t>
      </w:r>
    </w:p>
    <w:p w14:paraId="280306C3" w14:textId="77777777" w:rsidR="00B55BF0" w:rsidRPr="00284463" w:rsidRDefault="00B55BF0" w:rsidP="00B55BF0">
      <w:pPr>
        <w:spacing w:line="360" w:lineRule="auto"/>
        <w:rPr>
          <w:lang w:val="cs-CZ"/>
        </w:rPr>
      </w:pPr>
      <w:r w:rsidRPr="00284463">
        <w:rPr>
          <w:lang w:val="cs-CZ"/>
        </w:rPr>
        <w:t>ÚV – Úřad vlády</w:t>
      </w:r>
    </w:p>
    <w:p w14:paraId="17273751" w14:textId="77777777" w:rsidR="00B55BF0" w:rsidRPr="00284463" w:rsidRDefault="00B55BF0" w:rsidP="00B55BF0">
      <w:pPr>
        <w:spacing w:line="360" w:lineRule="auto"/>
        <w:rPr>
          <w:lang w:val="cs-CZ"/>
        </w:rPr>
      </w:pPr>
      <w:r w:rsidRPr="00284463">
        <w:rPr>
          <w:lang w:val="cs-CZ"/>
        </w:rPr>
        <w:t>VeV-VA – Vojenská akademie ve Vyškově</w:t>
      </w:r>
    </w:p>
    <w:p w14:paraId="5681D50C" w14:textId="77777777" w:rsidR="00B55BF0" w:rsidRPr="00284463" w:rsidRDefault="00B55BF0" w:rsidP="00B55BF0">
      <w:pPr>
        <w:spacing w:line="360" w:lineRule="auto"/>
        <w:rPr>
          <w:lang w:val="cs-CZ"/>
        </w:rPr>
      </w:pPr>
      <w:r w:rsidRPr="00284463">
        <w:rPr>
          <w:lang w:val="cs-CZ"/>
        </w:rPr>
        <w:t>VPŠ – Vyšší policejní škola</w:t>
      </w:r>
    </w:p>
    <w:p w14:paraId="4FA045A7" w14:textId="77777777" w:rsidR="00B55BF0" w:rsidRPr="00284463" w:rsidRDefault="00B55BF0" w:rsidP="00B55BF0">
      <w:pPr>
        <w:spacing w:line="360" w:lineRule="auto"/>
        <w:rPr>
          <w:lang w:val="cs-CZ"/>
        </w:rPr>
      </w:pPr>
      <w:r w:rsidRPr="00284463">
        <w:rPr>
          <w:lang w:val="cs-CZ"/>
        </w:rPr>
        <w:t>VSŠ VOŠ – Vojenská</w:t>
      </w:r>
      <w:r w:rsidRPr="00284463">
        <w:rPr>
          <w:rStyle w:val="Zvraznn"/>
          <w:i w:val="0"/>
          <w:iCs w:val="0"/>
          <w:lang w:val="cs-CZ"/>
        </w:rPr>
        <w:t xml:space="preserve"> střední škola</w:t>
      </w:r>
      <w:r w:rsidRPr="00284463">
        <w:rPr>
          <w:rStyle w:val="apple-converted-space"/>
          <w:shd w:val="clear" w:color="auto" w:fill="FFFFFF"/>
          <w:lang w:val="cs-CZ"/>
        </w:rPr>
        <w:t> </w:t>
      </w:r>
      <w:r w:rsidRPr="00284463">
        <w:rPr>
          <w:shd w:val="clear" w:color="auto" w:fill="FFFFFF"/>
          <w:lang w:val="cs-CZ"/>
        </w:rPr>
        <w:t>a</w:t>
      </w:r>
      <w:r w:rsidRPr="00284463">
        <w:rPr>
          <w:rStyle w:val="apple-converted-space"/>
          <w:shd w:val="clear" w:color="auto" w:fill="FFFFFF"/>
          <w:lang w:val="cs-CZ"/>
        </w:rPr>
        <w:t> </w:t>
      </w:r>
      <w:r w:rsidRPr="00284463">
        <w:rPr>
          <w:rStyle w:val="Zvraznn"/>
          <w:i w:val="0"/>
          <w:iCs w:val="0"/>
          <w:lang w:val="cs-CZ"/>
        </w:rPr>
        <w:t>Vyšší odborná škola</w:t>
      </w:r>
      <w:r w:rsidRPr="00284463">
        <w:rPr>
          <w:rStyle w:val="apple-converted-space"/>
          <w:shd w:val="clear" w:color="auto" w:fill="FFFFFF"/>
          <w:lang w:val="cs-CZ"/>
        </w:rPr>
        <w:t> </w:t>
      </w:r>
      <w:r w:rsidRPr="00284463">
        <w:rPr>
          <w:shd w:val="clear" w:color="auto" w:fill="FFFFFF"/>
          <w:lang w:val="cs-CZ"/>
        </w:rPr>
        <w:t>Ministerstva obrany v Moravské Třebové</w:t>
      </w:r>
    </w:p>
    <w:p w14:paraId="529CF5A1" w14:textId="1A1ECF4C" w:rsidR="00B55BF0" w:rsidRPr="00284463" w:rsidRDefault="00F642BF" w:rsidP="00B55BF0">
      <w:pPr>
        <w:spacing w:line="360" w:lineRule="auto"/>
        <w:rPr>
          <w:lang w:val="cs-CZ"/>
        </w:rPr>
      </w:pPr>
      <w:r w:rsidRPr="00284463">
        <w:rPr>
          <w:lang w:val="cs-CZ"/>
        </w:rPr>
        <w:t>WPS – Agenda ž</w:t>
      </w:r>
      <w:r w:rsidR="00B55BF0" w:rsidRPr="00284463">
        <w:rPr>
          <w:lang w:val="cs-CZ"/>
        </w:rPr>
        <w:t>eny, mír a bezpečnost</w:t>
      </w:r>
    </w:p>
    <w:p w14:paraId="6A87F2C9" w14:textId="61CC41CA" w:rsidR="00B55BF0" w:rsidRPr="00284463" w:rsidRDefault="00B55BF0" w:rsidP="00B55BF0">
      <w:pPr>
        <w:spacing w:line="360" w:lineRule="auto"/>
        <w:rPr>
          <w:lang w:val="cs-CZ"/>
        </w:rPr>
      </w:pPr>
      <w:r w:rsidRPr="00284463">
        <w:rPr>
          <w:lang w:val="cs-CZ"/>
        </w:rPr>
        <w:t>ZRS – Zahraniční rozvojová spolupráce</w:t>
      </w:r>
    </w:p>
    <w:p w14:paraId="7404DD1D" w14:textId="001AE5B2" w:rsidR="00B55BF0" w:rsidRPr="00284463" w:rsidRDefault="00B55BF0">
      <w:pPr>
        <w:rPr>
          <w:lang w:val="cs-CZ"/>
        </w:rPr>
      </w:pPr>
    </w:p>
    <w:sectPr w:rsidR="00B55BF0" w:rsidRPr="00284463" w:rsidSect="00F131B5">
      <w:footerReference w:type="even" r:id="rId31"/>
      <w:footerReference w:type="default" r:id="rId32"/>
      <w:pgSz w:w="11906" w:h="16838"/>
      <w:pgMar w:top="1418" w:right="1418" w:bottom="1418" w:left="1418"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DE8115" w16cid:durableId="24435187"/>
  <w16cid:commentId w16cid:paraId="577BBBA7" w16cid:durableId="244355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D46F8" w14:textId="77777777" w:rsidR="00284463" w:rsidRDefault="00284463" w:rsidP="00412BC7">
      <w:r>
        <w:separator/>
      </w:r>
    </w:p>
  </w:endnote>
  <w:endnote w:type="continuationSeparator" w:id="0">
    <w:p w14:paraId="2527A0D8" w14:textId="77777777" w:rsidR="00284463" w:rsidRDefault="00284463" w:rsidP="0041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 w:name="Malgun Gothic">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D3DA" w14:textId="77777777" w:rsidR="00284463" w:rsidRDefault="00284463" w:rsidP="00E2435E">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55</w:t>
    </w:r>
    <w:r>
      <w:rPr>
        <w:rStyle w:val="slostrnky"/>
      </w:rPr>
      <w:fldChar w:fldCharType="end"/>
    </w:r>
  </w:p>
  <w:p w14:paraId="70E00FDC" w14:textId="77777777" w:rsidR="00284463" w:rsidRDefault="00284463" w:rsidP="00A30FD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05421"/>
      <w:docPartObj>
        <w:docPartGallery w:val="Page Numbers (Bottom of Page)"/>
        <w:docPartUnique/>
      </w:docPartObj>
    </w:sdtPr>
    <w:sdtEndPr>
      <w:rPr>
        <w:rFonts w:ascii="Georgia" w:hAnsi="Georgia"/>
        <w:sz w:val="18"/>
        <w:szCs w:val="18"/>
      </w:rPr>
    </w:sdtEndPr>
    <w:sdtContent>
      <w:p w14:paraId="35428614" w14:textId="013490D2" w:rsidR="00284463" w:rsidRPr="007C3286" w:rsidRDefault="00284463">
        <w:pPr>
          <w:pStyle w:val="Zpat"/>
          <w:jc w:val="right"/>
          <w:rPr>
            <w:rFonts w:ascii="Georgia" w:hAnsi="Georgia"/>
            <w:sz w:val="18"/>
            <w:szCs w:val="18"/>
          </w:rPr>
        </w:pPr>
        <w:r w:rsidRPr="007C3286">
          <w:rPr>
            <w:rFonts w:ascii="Georgia" w:hAnsi="Georgia"/>
            <w:sz w:val="18"/>
            <w:szCs w:val="18"/>
          </w:rPr>
          <w:fldChar w:fldCharType="begin"/>
        </w:r>
        <w:r w:rsidRPr="007C3286">
          <w:rPr>
            <w:rFonts w:ascii="Georgia" w:hAnsi="Georgia"/>
            <w:sz w:val="18"/>
            <w:szCs w:val="18"/>
          </w:rPr>
          <w:instrText>PAGE   \* MERGEFORMAT</w:instrText>
        </w:r>
        <w:r w:rsidRPr="007C3286">
          <w:rPr>
            <w:rFonts w:ascii="Georgia" w:hAnsi="Georgia"/>
            <w:sz w:val="18"/>
            <w:szCs w:val="18"/>
          </w:rPr>
          <w:fldChar w:fldCharType="separate"/>
        </w:r>
        <w:r w:rsidR="001E50F1" w:rsidRPr="001E50F1">
          <w:rPr>
            <w:rFonts w:ascii="Georgia" w:hAnsi="Georgia"/>
            <w:noProof/>
            <w:sz w:val="18"/>
            <w:szCs w:val="18"/>
            <w:lang w:val="cs-CZ"/>
          </w:rPr>
          <w:t>55</w:t>
        </w:r>
        <w:r w:rsidRPr="007C3286">
          <w:rPr>
            <w:rFonts w:ascii="Georgia" w:hAnsi="Georgia"/>
            <w:sz w:val="18"/>
            <w:szCs w:val="18"/>
          </w:rPr>
          <w:fldChar w:fldCharType="end"/>
        </w:r>
      </w:p>
    </w:sdtContent>
  </w:sdt>
  <w:p w14:paraId="0C501348" w14:textId="77777777" w:rsidR="00284463" w:rsidRDefault="00284463" w:rsidP="00A30FD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558EA" w14:textId="77777777" w:rsidR="00284463" w:rsidRDefault="00284463" w:rsidP="00412BC7">
      <w:r>
        <w:separator/>
      </w:r>
    </w:p>
  </w:footnote>
  <w:footnote w:type="continuationSeparator" w:id="0">
    <w:p w14:paraId="74A0377C" w14:textId="77777777" w:rsidR="00284463" w:rsidRDefault="00284463" w:rsidP="00412BC7">
      <w:r>
        <w:continuationSeparator/>
      </w:r>
    </w:p>
  </w:footnote>
  <w:footnote w:id="1">
    <w:p w14:paraId="5F10E983" w14:textId="3FC8B00B" w:rsidR="00284463" w:rsidRPr="008362D5" w:rsidRDefault="00284463" w:rsidP="008362D5">
      <w:pPr>
        <w:pStyle w:val="Textpoznpodarou"/>
        <w:jc w:val="both"/>
        <w:rPr>
          <w:rFonts w:ascii="Georgia" w:hAnsi="Georgia"/>
          <w:sz w:val="18"/>
          <w:szCs w:val="18"/>
          <w:lang w:val="cs-CZ"/>
        </w:rPr>
      </w:pPr>
      <w:r w:rsidRPr="008362D5">
        <w:rPr>
          <w:rStyle w:val="Znakapoznpodarou"/>
          <w:rFonts w:ascii="Georgia" w:hAnsi="Georgia"/>
          <w:sz w:val="18"/>
          <w:szCs w:val="18"/>
          <w:lang w:val="cs-CZ"/>
        </w:rPr>
        <w:footnoteRef/>
      </w:r>
      <w:r>
        <w:rPr>
          <w:rFonts w:ascii="Georgia" w:hAnsi="Georgia"/>
          <w:sz w:val="18"/>
          <w:szCs w:val="18"/>
          <w:lang w:val="cs-CZ"/>
        </w:rPr>
        <w:t xml:space="preserve"> Údaj z prosince 2020</w:t>
      </w:r>
      <w:r w:rsidRPr="008362D5">
        <w:rPr>
          <w:rFonts w:ascii="Georgia" w:hAnsi="Georgia"/>
          <w:sz w:val="18"/>
          <w:szCs w:val="18"/>
          <w:lang w:val="cs-CZ"/>
        </w:rPr>
        <w:t xml:space="preserve"> (zdroj: </w:t>
      </w:r>
      <w:hyperlink r:id="rId1" w:history="1">
        <w:r w:rsidRPr="008362D5">
          <w:rPr>
            <w:rStyle w:val="Hypertextovodkaz"/>
            <w:rFonts w:ascii="Georgia" w:hAnsi="Georgia"/>
            <w:sz w:val="18"/>
            <w:szCs w:val="18"/>
            <w:lang w:val="cs-CZ"/>
          </w:rPr>
          <w:t>http://www.peacewomen.org/member-states</w:t>
        </w:r>
      </w:hyperlink>
      <w:r w:rsidRPr="008362D5">
        <w:rPr>
          <w:rFonts w:ascii="Georgia" w:hAnsi="Georgia"/>
          <w:sz w:val="18"/>
          <w:szCs w:val="18"/>
          <w:lang w:val="cs-CZ"/>
        </w:rPr>
        <w:t xml:space="preserve">). </w:t>
      </w:r>
    </w:p>
  </w:footnote>
  <w:footnote w:id="2">
    <w:p w14:paraId="726451B7" w14:textId="77777777" w:rsidR="00284463" w:rsidRPr="008362D5" w:rsidRDefault="00284463" w:rsidP="003875E4">
      <w:pPr>
        <w:pStyle w:val="Textpoznpodarou"/>
        <w:jc w:val="both"/>
        <w:rPr>
          <w:rFonts w:ascii="Georgia" w:hAnsi="Georgia"/>
          <w:sz w:val="18"/>
          <w:szCs w:val="18"/>
          <w:lang w:val="cs-CZ"/>
        </w:rPr>
      </w:pPr>
      <w:r w:rsidRPr="008362D5">
        <w:rPr>
          <w:rStyle w:val="Znakapoznpodarou"/>
          <w:rFonts w:ascii="Georgia" w:hAnsi="Georgia"/>
          <w:sz w:val="18"/>
          <w:szCs w:val="18"/>
          <w:lang w:val="cs-CZ"/>
        </w:rPr>
        <w:footnoteRef/>
      </w:r>
      <w:r w:rsidRPr="008362D5">
        <w:rPr>
          <w:rFonts w:ascii="Georgia" w:hAnsi="Georgia"/>
          <w:sz w:val="18"/>
          <w:szCs w:val="18"/>
          <w:lang w:val="cs-CZ"/>
        </w:rPr>
        <w:t xml:space="preserve"> Vojáci/vojákyně a občanští zaměstnanci/zaměstnankyně  </w:t>
      </w:r>
    </w:p>
  </w:footnote>
  <w:footnote w:id="3">
    <w:p w14:paraId="0C089CD8" w14:textId="77777777" w:rsidR="00284463" w:rsidRPr="008362D5" w:rsidRDefault="00284463" w:rsidP="008362D5">
      <w:pPr>
        <w:pStyle w:val="Textpoznpodarou"/>
        <w:jc w:val="both"/>
        <w:rPr>
          <w:rFonts w:ascii="Georgia" w:hAnsi="Georgia"/>
          <w:sz w:val="18"/>
          <w:szCs w:val="18"/>
          <w:lang w:val="cs-CZ"/>
        </w:rPr>
      </w:pPr>
      <w:r w:rsidRPr="008362D5">
        <w:rPr>
          <w:rStyle w:val="Znakapoznpodarou"/>
          <w:rFonts w:ascii="Georgia" w:hAnsi="Georgia"/>
          <w:sz w:val="18"/>
          <w:szCs w:val="18"/>
          <w:lang w:val="cs-CZ"/>
        </w:rPr>
        <w:footnoteRef/>
      </w:r>
      <w:r w:rsidRPr="008362D5">
        <w:rPr>
          <w:rFonts w:ascii="Georgia" w:hAnsi="Georgia"/>
          <w:sz w:val="18"/>
          <w:szCs w:val="18"/>
          <w:lang w:val="cs-CZ"/>
        </w:rPr>
        <w:t xml:space="preserve"> Metodika uvolňování finančních prostředků pro vysílání občanů České republiky do civilních struktur Evropské unie a dalších mezinárodních vládních organizací a do volebních pozorovatelských misí.</w:t>
      </w:r>
    </w:p>
  </w:footnote>
  <w:footnote w:id="4">
    <w:p w14:paraId="29BE5EB7" w14:textId="77777777" w:rsidR="00284463" w:rsidRPr="008362D5" w:rsidRDefault="00284463" w:rsidP="008362D5">
      <w:pPr>
        <w:pStyle w:val="Textpoznpodarou"/>
        <w:jc w:val="both"/>
        <w:rPr>
          <w:rFonts w:ascii="Georgia" w:hAnsi="Georgia"/>
          <w:sz w:val="18"/>
          <w:szCs w:val="18"/>
          <w:lang w:val="cs-CZ"/>
        </w:rPr>
      </w:pPr>
      <w:r w:rsidRPr="008362D5">
        <w:rPr>
          <w:rStyle w:val="Znakapoznpodarou"/>
          <w:rFonts w:ascii="Georgia" w:hAnsi="Georgia"/>
          <w:sz w:val="18"/>
          <w:szCs w:val="18"/>
          <w:lang w:val="cs-CZ"/>
        </w:rPr>
        <w:footnoteRef/>
      </w:r>
      <w:r w:rsidRPr="008362D5">
        <w:rPr>
          <w:rFonts w:ascii="Georgia" w:hAnsi="Georgia"/>
          <w:sz w:val="18"/>
          <w:szCs w:val="18"/>
          <w:lang w:val="cs-CZ"/>
        </w:rPr>
        <w:t xml:space="preserve"> Vojáci/vojákyně a občanští zaměstnanci/zaměstnankyně  </w:t>
      </w:r>
    </w:p>
  </w:footnote>
  <w:footnote w:id="5">
    <w:p w14:paraId="265C966E" w14:textId="77777777" w:rsidR="00284463" w:rsidRPr="009567A1" w:rsidRDefault="00284463" w:rsidP="001A05B3">
      <w:pPr>
        <w:pStyle w:val="Textpoznpodarou"/>
        <w:rPr>
          <w:rFonts w:ascii="Calibri" w:hAnsi="Calibri" w:cs="Calibri"/>
        </w:rPr>
      </w:pPr>
      <w:r>
        <w:rPr>
          <w:rStyle w:val="Znakapoznpodarou"/>
        </w:rPr>
        <w:footnoteRef/>
      </w:r>
      <w:r>
        <w:t xml:space="preserve"> </w:t>
      </w:r>
      <w:r w:rsidRPr="00284463">
        <w:rPr>
          <w:rFonts w:ascii="Calibri" w:hAnsi="Calibri" w:cs="Calibri"/>
          <w:i/>
          <w:sz w:val="18"/>
          <w:szCs w:val="18"/>
          <w:lang w:val="cs-CZ"/>
        </w:rPr>
        <w:t xml:space="preserve">K 31. </w:t>
      </w:r>
      <w:r w:rsidRPr="009567A1">
        <w:rPr>
          <w:rFonts w:ascii="Calibri" w:hAnsi="Calibri" w:cs="Calibri"/>
          <w:i/>
          <w:sz w:val="18"/>
          <w:szCs w:val="18"/>
        </w:rPr>
        <w:t>12. 2020</w:t>
      </w:r>
      <w:r w:rsidRPr="00284463">
        <w:rPr>
          <w:rFonts w:ascii="Calibri" w:hAnsi="Calibri" w:cs="Calibri"/>
          <w:i/>
          <w:sz w:val="18"/>
          <w:szCs w:val="18"/>
          <w:lang w:val="cs-CZ"/>
        </w:rPr>
        <w:t xml:space="preserve"> bylo</w:t>
      </w:r>
      <w:r w:rsidRPr="009567A1">
        <w:rPr>
          <w:rFonts w:ascii="Calibri" w:hAnsi="Calibri" w:cs="Calibri"/>
          <w:i/>
          <w:sz w:val="18"/>
          <w:szCs w:val="18"/>
        </w:rPr>
        <w:t xml:space="preserve"> evidováno 362 žen s přiznanou diplomatickou hodností, což představuje 42%</w:t>
      </w:r>
      <w:r>
        <w:rPr>
          <w:rFonts w:ascii="Calibri" w:hAnsi="Calibri" w:cs="Calibri"/>
          <w:i/>
          <w:sz w:val="18"/>
          <w:szCs w:val="18"/>
        </w:rPr>
        <w:t xml:space="preserve"> z celkového počtu zaměstnanců s přiznanou diplomatickou hodností</w:t>
      </w:r>
      <w:r w:rsidRPr="009567A1">
        <w:rPr>
          <w:rFonts w:ascii="Calibri" w:hAnsi="Calibri" w:cs="Calibri"/>
          <w:i/>
          <w:sz w:val="18"/>
          <w:szCs w:val="18"/>
        </w:rPr>
        <w:t>.</w:t>
      </w:r>
    </w:p>
  </w:footnote>
  <w:footnote w:id="6">
    <w:p w14:paraId="1B0A7B7B" w14:textId="77777777" w:rsidR="00284463" w:rsidRPr="007C3888" w:rsidRDefault="00284463" w:rsidP="002869DF">
      <w:pPr>
        <w:spacing w:before="120"/>
        <w:jc w:val="both"/>
        <w:rPr>
          <w:sz w:val="16"/>
          <w:szCs w:val="16"/>
        </w:rPr>
      </w:pPr>
      <w:r w:rsidRPr="008561E6">
        <w:rPr>
          <w:rStyle w:val="Znakapoznpodarou"/>
          <w:sz w:val="16"/>
          <w:szCs w:val="16"/>
        </w:rPr>
        <w:footnoteRef/>
      </w:r>
      <w:r>
        <w:rPr>
          <w:sz w:val="16"/>
          <w:szCs w:val="16"/>
        </w:rPr>
        <w:t xml:space="preserve"> </w:t>
      </w:r>
      <w:r w:rsidRPr="008561E6">
        <w:rPr>
          <w:sz w:val="16"/>
          <w:szCs w:val="16"/>
        </w:rPr>
        <w:t>P</w:t>
      </w:r>
      <w:r w:rsidRPr="007C3888">
        <w:rPr>
          <w:sz w:val="16"/>
          <w:szCs w:val="16"/>
        </w:rPr>
        <w:t xml:space="preserve">růměr vyplacené složky platu na 1 muže/měsíc a 1 ženu/měsíc v členění tarifní plat, hodnostní příplatky, příplatky za vedení, osobní příplatky, ostatní zvláštní příplatky, příplatky za práci v noci+so+ne, příplatky za práci přesčas a ve svátek, příplatky z pracovní pohotovosti, odměny mimořádné, jubilejní a první odchod do důchodu, náhrady platu. </w:t>
      </w:r>
    </w:p>
  </w:footnote>
  <w:footnote w:id="7">
    <w:p w14:paraId="08FA3DD2" w14:textId="77777777" w:rsidR="00284463" w:rsidRDefault="00284463" w:rsidP="002153F7">
      <w:pPr>
        <w:pStyle w:val="Textpoznpodarou"/>
      </w:pPr>
      <w:r>
        <w:rPr>
          <w:rStyle w:val="Znakapoznpodarou"/>
        </w:rPr>
        <w:t>[1]</w:t>
      </w:r>
      <w:r>
        <w:t xml:space="preserve"> </w:t>
      </w:r>
      <w:r>
        <w:rPr>
          <w:sz w:val="16"/>
          <w:szCs w:val="16"/>
        </w:rPr>
        <w:t>Témata psychologické přípravy: Psychologické aspekty zahraničních operací, Příprava rodin, Sexuální obtěžování, Nežádoucí vztahy, Rovnost žen a mužů, Psychologické aspekty smrti a zabití, Rasová diskriminace.</w:t>
      </w:r>
    </w:p>
  </w:footnote>
  <w:footnote w:id="8">
    <w:p w14:paraId="1DF5E0C9" w14:textId="77777777" w:rsidR="00284463" w:rsidRPr="00180D13" w:rsidRDefault="00284463" w:rsidP="00840AA8">
      <w:pPr>
        <w:pStyle w:val="Textpoznpodarou"/>
        <w:rPr>
          <w:rFonts w:ascii="Arial" w:hAnsi="Arial" w:cs="Arial"/>
          <w:sz w:val="18"/>
          <w:szCs w:val="18"/>
        </w:rPr>
      </w:pPr>
      <w:r w:rsidRPr="00180D13">
        <w:rPr>
          <w:rStyle w:val="Znakapoznpodarou"/>
          <w:rFonts w:ascii="Arial" w:eastAsia="SimSun" w:hAnsi="Arial" w:cs="Arial"/>
          <w:sz w:val="18"/>
          <w:szCs w:val="18"/>
        </w:rPr>
        <w:footnoteRef/>
      </w:r>
      <w:r w:rsidRPr="00180D13">
        <w:rPr>
          <w:rFonts w:ascii="Arial" w:hAnsi="Arial" w:cs="Arial"/>
          <w:sz w:val="18"/>
          <w:szCs w:val="18"/>
        </w:rPr>
        <w:t xml:space="preserve"> Blíže viz &lt;</w:t>
      </w:r>
      <w:hyperlink r:id="rId2" w:history="1">
        <w:r w:rsidRPr="00180D13">
          <w:rPr>
            <w:rStyle w:val="Hypertextovodkaz"/>
            <w:rFonts w:ascii="Arial" w:hAnsi="Arial" w:cs="Arial"/>
            <w:sz w:val="18"/>
            <w:szCs w:val="18"/>
          </w:rPr>
          <w:t>https://www.vlada.cz/assets/ppov/rovne-prilezitosti-zen-a-muzu/Aktuality/Strategie_rovnosti_zen_a_muzu.pdf?fbclid=IwAR0KAXHd4oBuGaXp_4pAe74hCtVV-5wHNf4QJedeNLvcSCIbqc54n_m58lk</w:t>
        </w:r>
      </w:hyperlink>
      <w:r w:rsidRPr="00180D13">
        <w:rPr>
          <w:rFonts w:ascii="Arial" w:hAnsi="Arial" w:cs="Arial"/>
          <w:sz w:val="18"/>
          <w:szCs w:val="18"/>
        </w:rPr>
        <w:t xml:space="preserve">&gt;. </w:t>
      </w:r>
    </w:p>
  </w:footnote>
  <w:footnote w:id="9">
    <w:p w14:paraId="7CBD3437" w14:textId="77777777" w:rsidR="00284463" w:rsidRPr="00BA259B" w:rsidRDefault="00284463" w:rsidP="00840AA8">
      <w:pPr>
        <w:pStyle w:val="Textpoznpodarou"/>
        <w:rPr>
          <w:rFonts w:ascii="Arial" w:hAnsi="Arial" w:cs="Arial"/>
          <w:sz w:val="18"/>
          <w:szCs w:val="18"/>
        </w:rPr>
      </w:pPr>
      <w:r w:rsidRPr="00BA259B">
        <w:rPr>
          <w:rStyle w:val="Znakapoznpodarou"/>
          <w:rFonts w:ascii="Arial" w:eastAsia="SimSun" w:hAnsi="Arial" w:cs="Arial"/>
          <w:sz w:val="18"/>
          <w:szCs w:val="18"/>
        </w:rPr>
        <w:footnoteRef/>
      </w:r>
      <w:r w:rsidRPr="00BA259B">
        <w:rPr>
          <w:rFonts w:ascii="Arial" w:hAnsi="Arial" w:cs="Arial"/>
          <w:sz w:val="18"/>
          <w:szCs w:val="18"/>
        </w:rPr>
        <w:t xml:space="preserve"> Blíže viz &lt;</w:t>
      </w:r>
      <w:hyperlink r:id="rId3" w:history="1">
        <w:r w:rsidRPr="00BA259B">
          <w:rPr>
            <w:rStyle w:val="Hypertextovodkaz"/>
            <w:rFonts w:ascii="Arial" w:hAnsi="Arial" w:cs="Arial"/>
            <w:sz w:val="18"/>
            <w:szCs w:val="18"/>
          </w:rPr>
          <w:t>http://www.vlada.cz/assets/ppov/rovne-prilezitosti-zen-a-muzu/cinnost_rady/RVRZM_vysledky_per_rollam_02-2020.pdf</w:t>
        </w:r>
      </w:hyperlink>
      <w:r w:rsidRPr="00BA259B">
        <w:rPr>
          <w:rFonts w:ascii="Arial" w:hAnsi="Arial" w:cs="Arial"/>
          <w:sz w:val="18"/>
          <w:szCs w:val="18"/>
        </w:rPr>
        <w:t>&gt;.</w:t>
      </w:r>
    </w:p>
  </w:footnote>
  <w:footnote w:id="10">
    <w:p w14:paraId="018920D7" w14:textId="77777777" w:rsidR="00284463" w:rsidRPr="00180D13" w:rsidRDefault="00284463" w:rsidP="00840AA8">
      <w:pPr>
        <w:pStyle w:val="Textpoznpodarou"/>
        <w:rPr>
          <w:rFonts w:ascii="Arial" w:hAnsi="Arial" w:cs="Arial"/>
          <w:sz w:val="18"/>
          <w:szCs w:val="18"/>
        </w:rPr>
      </w:pPr>
      <w:r w:rsidRPr="00BA259B">
        <w:rPr>
          <w:rStyle w:val="Znakapoznpodarou"/>
          <w:rFonts w:ascii="Arial" w:eastAsia="SimSun" w:hAnsi="Arial" w:cs="Arial"/>
          <w:sz w:val="18"/>
          <w:szCs w:val="18"/>
        </w:rPr>
        <w:footnoteRef/>
      </w:r>
      <w:r w:rsidRPr="00BA259B">
        <w:rPr>
          <w:rFonts w:ascii="Arial" w:hAnsi="Arial" w:cs="Arial"/>
          <w:sz w:val="18"/>
          <w:szCs w:val="18"/>
        </w:rPr>
        <w:t xml:space="preserve"> </w:t>
      </w:r>
      <w:r w:rsidRPr="00180D13">
        <w:rPr>
          <w:rFonts w:ascii="Arial" w:hAnsi="Arial" w:cs="Arial"/>
          <w:sz w:val="18"/>
          <w:szCs w:val="18"/>
        </w:rPr>
        <w:t>Blíže viz &lt;</w:t>
      </w:r>
      <w:hyperlink r:id="rId4" w:history="1">
        <w:r w:rsidRPr="00180D13">
          <w:rPr>
            <w:rStyle w:val="Hypertextovodkaz"/>
            <w:rFonts w:ascii="Arial" w:hAnsi="Arial" w:cs="Arial"/>
            <w:sz w:val="18"/>
            <w:szCs w:val="18"/>
          </w:rPr>
          <w:t>http://www.vlada.cz/cz/-175452/</w:t>
        </w:r>
      </w:hyperlink>
      <w:r w:rsidRPr="00180D13">
        <w:rPr>
          <w:rFonts w:ascii="Arial" w:hAnsi="Arial" w:cs="Arial"/>
          <w:sz w:val="18"/>
          <w:szCs w:val="18"/>
        </w:rPr>
        <w:t>&gt;.</w:t>
      </w:r>
    </w:p>
  </w:footnote>
  <w:footnote w:id="11">
    <w:p w14:paraId="04BD7927" w14:textId="77777777" w:rsidR="00284463" w:rsidRDefault="00284463" w:rsidP="00840AA8">
      <w:pPr>
        <w:pStyle w:val="Textpoznpodarou"/>
      </w:pPr>
      <w:r w:rsidRPr="00180D13">
        <w:rPr>
          <w:rStyle w:val="Znakapoznpodarou"/>
          <w:rFonts w:ascii="Arial" w:eastAsia="SimSun" w:hAnsi="Arial" w:cs="Arial"/>
          <w:sz w:val="18"/>
          <w:szCs w:val="18"/>
        </w:rPr>
        <w:footnoteRef/>
      </w:r>
      <w:r w:rsidRPr="00180D13">
        <w:rPr>
          <w:rFonts w:ascii="Arial" w:hAnsi="Arial" w:cs="Arial"/>
          <w:sz w:val="18"/>
          <w:szCs w:val="18"/>
        </w:rPr>
        <w:t xml:space="preserve"> </w:t>
      </w:r>
      <w:r>
        <w:rPr>
          <w:rFonts w:ascii="Arial" w:hAnsi="Arial" w:cs="Arial"/>
          <w:sz w:val="18"/>
          <w:szCs w:val="18"/>
        </w:rPr>
        <w:t xml:space="preserve">Studie zatím není dostupná online. </w:t>
      </w:r>
      <w:r w:rsidRPr="00180D13">
        <w:rPr>
          <w:rFonts w:ascii="Arial" w:hAnsi="Arial" w:cs="Arial"/>
          <w:sz w:val="18"/>
          <w:szCs w:val="18"/>
        </w:rPr>
        <w:t xml:space="preserve">Některé z výsledků studie jsou </w:t>
      </w:r>
      <w:r>
        <w:rPr>
          <w:rFonts w:ascii="Arial" w:hAnsi="Arial" w:cs="Arial"/>
          <w:sz w:val="18"/>
          <w:szCs w:val="18"/>
        </w:rPr>
        <w:t xml:space="preserve">nicméně </w:t>
      </w:r>
      <w:r w:rsidRPr="00180D13">
        <w:rPr>
          <w:rFonts w:ascii="Arial" w:hAnsi="Arial" w:cs="Arial"/>
          <w:sz w:val="18"/>
          <w:szCs w:val="18"/>
        </w:rPr>
        <w:t>blíže popsány zde: &lt;</w:t>
      </w:r>
      <w:hyperlink r:id="rId5" w:history="1">
        <w:r w:rsidRPr="0060060E">
          <w:rPr>
            <w:rStyle w:val="Hypertextovodkaz"/>
            <w:rFonts w:ascii="Arial" w:hAnsi="Arial" w:cs="Arial"/>
            <w:sz w:val="18"/>
            <w:szCs w:val="18"/>
          </w:rPr>
          <w:t>https://denikreferendum.cz/clanek/32127-zeny-v-ceske-zahranicni-politice-vlastnima-ocima---optimismus-do-budoucna</w:t>
        </w:r>
      </w:hyperlink>
      <w:r w:rsidRPr="00180D13">
        <w:rPr>
          <w:rFonts w:ascii="Arial" w:hAnsi="Arial" w:cs="Arial"/>
          <w:sz w:val="18"/>
          <w:szCs w:val="18"/>
        </w:rPr>
        <w:t>&gt;.</w:t>
      </w:r>
    </w:p>
  </w:footnote>
  <w:footnote w:id="12">
    <w:p w14:paraId="66CC0CF4" w14:textId="1EEA6815" w:rsidR="00284463" w:rsidRDefault="00284463">
      <w:pPr>
        <w:pStyle w:val="Textpoznpodarou"/>
        <w:rPr>
          <w:color w:val="000000"/>
          <w:lang w:val="cs-CZ"/>
        </w:rPr>
      </w:pPr>
      <w:r>
        <w:rPr>
          <w:rStyle w:val="Znakapoznpodarou"/>
        </w:rPr>
        <w:footnoteRef/>
      </w:r>
      <w:r>
        <w:t xml:space="preserve"> </w:t>
      </w:r>
      <w:hyperlink r:id="rId6" w:history="1">
        <w:r w:rsidRPr="00E72E15">
          <w:rPr>
            <w:rStyle w:val="Hypertextovodkaz"/>
            <w:lang w:val="cs-CZ"/>
          </w:rPr>
          <w:t>https://www.iir.cz/article/towards-a-meaningful-change-gendered-foreign-policy-in-practice1</w:t>
        </w:r>
      </w:hyperlink>
    </w:p>
    <w:p w14:paraId="7AA921B6" w14:textId="77777777" w:rsidR="00284463" w:rsidRPr="00C1413D" w:rsidRDefault="00284463">
      <w:pPr>
        <w:pStyle w:val="Textpoznpodarou"/>
        <w:rPr>
          <w:lang w:val="cs-CZ"/>
        </w:rPr>
      </w:pPr>
    </w:p>
  </w:footnote>
  <w:footnote w:id="13">
    <w:p w14:paraId="7DD067FB" w14:textId="77777777" w:rsidR="00284463" w:rsidRPr="007D2E9F" w:rsidRDefault="00284463" w:rsidP="00840AA8">
      <w:pPr>
        <w:pStyle w:val="Textpoznpodarou"/>
        <w:rPr>
          <w:rFonts w:ascii="Arial" w:hAnsi="Arial" w:cs="Arial"/>
          <w:sz w:val="18"/>
          <w:szCs w:val="18"/>
          <w:lang w:val="pt-PT"/>
        </w:rPr>
      </w:pPr>
      <w:r w:rsidRPr="007D2E9F">
        <w:rPr>
          <w:rStyle w:val="Znakapoznpodarou"/>
          <w:rFonts w:ascii="Arial" w:eastAsia="SimSun" w:hAnsi="Arial" w:cs="Arial"/>
          <w:sz w:val="18"/>
          <w:szCs w:val="18"/>
        </w:rPr>
        <w:footnoteRef/>
      </w:r>
      <w:r w:rsidRPr="007D2E9F">
        <w:rPr>
          <w:rFonts w:ascii="Arial" w:hAnsi="Arial" w:cs="Arial"/>
          <w:sz w:val="18"/>
          <w:szCs w:val="18"/>
        </w:rPr>
        <w:t xml:space="preserve"> </w:t>
      </w:r>
      <w:r w:rsidRPr="00B0263F">
        <w:rPr>
          <w:rFonts w:ascii="Arial" w:hAnsi="Arial" w:cs="Arial"/>
          <w:sz w:val="18"/>
          <w:szCs w:val="18"/>
          <w:lang w:val="pt-PT"/>
        </w:rPr>
        <w:t>Blíže viz &lt;</w:t>
      </w:r>
      <w:r w:rsidRPr="00B0263F">
        <w:rPr>
          <w:rFonts w:ascii="Arial" w:hAnsi="Arial" w:cs="Arial"/>
          <w:sz w:val="18"/>
          <w:szCs w:val="18"/>
        </w:rPr>
        <w:t xml:space="preserve"> </w:t>
      </w:r>
      <w:hyperlink r:id="rId7" w:history="1">
        <w:r w:rsidRPr="00B0263F">
          <w:rPr>
            <w:rStyle w:val="Hypertextovodkaz"/>
            <w:rFonts w:ascii="Arial" w:hAnsi="Arial" w:cs="Arial"/>
            <w:sz w:val="18"/>
            <w:szCs w:val="18"/>
          </w:rPr>
          <w:t>https://www.czso.cz/csu/czso/zaostreno-na-zeny-a-muze-2020</w:t>
        </w:r>
      </w:hyperlink>
      <w:r w:rsidRPr="00B0263F">
        <w:rPr>
          <w:rFonts w:ascii="Arial" w:hAnsi="Arial" w:cs="Arial"/>
          <w:sz w:val="18"/>
          <w:szCs w:val="18"/>
        </w:rPr>
        <w:t>&gt;.</w:t>
      </w:r>
    </w:p>
  </w:footnote>
  <w:footnote w:id="14">
    <w:p w14:paraId="5A4E10DF" w14:textId="77777777" w:rsidR="00284463" w:rsidRPr="00185889" w:rsidRDefault="00284463" w:rsidP="00840AA8">
      <w:pPr>
        <w:pStyle w:val="Textpoznpodarou"/>
        <w:jc w:val="both"/>
        <w:rPr>
          <w:i/>
          <w:sz w:val="16"/>
          <w:szCs w:val="16"/>
        </w:rPr>
      </w:pPr>
      <w:r w:rsidRPr="004A1E42">
        <w:rPr>
          <w:rStyle w:val="Znakapoznpodarou"/>
          <w:i/>
        </w:rPr>
        <w:footnoteRef/>
      </w:r>
      <w:r w:rsidRPr="004A1E42">
        <w:rPr>
          <w:i/>
        </w:rPr>
        <w:t xml:space="preserve"> </w:t>
      </w:r>
      <w:r w:rsidRPr="00185889">
        <w:rPr>
          <w:i/>
          <w:sz w:val="16"/>
          <w:szCs w:val="16"/>
        </w:rPr>
        <w:t>Sledovány jsou počty zaměstnanců (ve služebním i pracovním poměru), ve vedoucích systemizovaných místech, v základních velitelských stupních, v hodnostech poručík a výše a  štábní praporčík a nižší, dále pak délka trvání služebního poměru žen a mužů, vzdělání žen a mužů, plnění/neplnění kvalifikačních předpokladů vzdělání žen a mužů v pracovním poměru, počty studujících na vojenských školách, počty žen a mužů (v členění zájemce, uchazeč, přijat) v rámci výběru personálu – náboru do AČR, počty žen a mužů ve strukturách NATO a EU a v zahraničních operacích, věk žen a mužů na systemizovaných místech i na vedoucích systemizovaných místech, počty žen a mužů na mateřské a rodičovské dovolené, ve vojenských odbornostech, v platových třídách a stupních, sleduje se i průměrná vyplacená složka platu žen a mužů na 1 osobu/měsíc</w:t>
      </w:r>
      <w:r>
        <w:rPr>
          <w:i/>
          <w:sz w:val="16"/>
          <w:szCs w:val="16"/>
        </w:rPr>
        <w:t>, dále pak účast žen a mužů v aktivní záloze, účast žen a mužů na dobrovolných cvičeních a počty žen a mužů válečných veteránů</w:t>
      </w:r>
      <w:r w:rsidRPr="00185889">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EA0"/>
    <w:multiLevelType w:val="hybridMultilevel"/>
    <w:tmpl w:val="89B0AA28"/>
    <w:lvl w:ilvl="0" w:tplc="CAF49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7247D"/>
    <w:multiLevelType w:val="hybridMultilevel"/>
    <w:tmpl w:val="3B545C1C"/>
    <w:lvl w:ilvl="0" w:tplc="AF1691BC">
      <w:start w:val="2"/>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07041C"/>
    <w:multiLevelType w:val="hybridMultilevel"/>
    <w:tmpl w:val="15523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4E1C95"/>
    <w:multiLevelType w:val="hybridMultilevel"/>
    <w:tmpl w:val="62B2BD90"/>
    <w:lvl w:ilvl="0" w:tplc="0AE42B9C">
      <w:start w:val="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1EB0AB3"/>
    <w:multiLevelType w:val="hybridMultilevel"/>
    <w:tmpl w:val="67267E6E"/>
    <w:lvl w:ilvl="0" w:tplc="04050001">
      <w:start w:val="1"/>
      <w:numFmt w:val="bullet"/>
      <w:lvlText w:val=""/>
      <w:lvlJc w:val="left"/>
      <w:pPr>
        <w:ind w:left="2496" w:hanging="360"/>
      </w:pPr>
      <w:rPr>
        <w:rFonts w:ascii="Symbol" w:hAnsi="Symbol"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5">
    <w:nsid w:val="1706019D"/>
    <w:multiLevelType w:val="hybridMultilevel"/>
    <w:tmpl w:val="B27EF9CE"/>
    <w:lvl w:ilvl="0" w:tplc="80CE0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7781D"/>
    <w:multiLevelType w:val="hybridMultilevel"/>
    <w:tmpl w:val="B24A63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202E77"/>
    <w:multiLevelType w:val="hybridMultilevel"/>
    <w:tmpl w:val="0A3A8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B1842"/>
    <w:multiLevelType w:val="hybridMultilevel"/>
    <w:tmpl w:val="84DA37AC"/>
    <w:lvl w:ilvl="0" w:tplc="2CF07A30">
      <w:start w:val="1"/>
      <w:numFmt w:val="bullet"/>
      <w:lvlText w:val="-"/>
      <w:lvlJc w:val="left"/>
      <w:pPr>
        <w:tabs>
          <w:tab w:val="num" w:pos="720"/>
        </w:tabs>
        <w:ind w:left="720" w:hanging="360"/>
      </w:pPr>
      <w:rPr>
        <w:rFonts w:ascii="Times New Roman" w:hAnsi="Times New Roman" w:hint="default"/>
      </w:rPr>
    </w:lvl>
    <w:lvl w:ilvl="1" w:tplc="2A624F6E" w:tentative="1">
      <w:start w:val="1"/>
      <w:numFmt w:val="bullet"/>
      <w:lvlText w:val="-"/>
      <w:lvlJc w:val="left"/>
      <w:pPr>
        <w:tabs>
          <w:tab w:val="num" w:pos="1440"/>
        </w:tabs>
        <w:ind w:left="1440" w:hanging="360"/>
      </w:pPr>
      <w:rPr>
        <w:rFonts w:ascii="Times New Roman" w:hAnsi="Times New Roman" w:hint="default"/>
      </w:rPr>
    </w:lvl>
    <w:lvl w:ilvl="2" w:tplc="9A366E36" w:tentative="1">
      <w:start w:val="1"/>
      <w:numFmt w:val="bullet"/>
      <w:lvlText w:val="-"/>
      <w:lvlJc w:val="left"/>
      <w:pPr>
        <w:tabs>
          <w:tab w:val="num" w:pos="2160"/>
        </w:tabs>
        <w:ind w:left="2160" w:hanging="360"/>
      </w:pPr>
      <w:rPr>
        <w:rFonts w:ascii="Times New Roman" w:hAnsi="Times New Roman" w:hint="default"/>
      </w:rPr>
    </w:lvl>
    <w:lvl w:ilvl="3" w:tplc="73586802" w:tentative="1">
      <w:start w:val="1"/>
      <w:numFmt w:val="bullet"/>
      <w:lvlText w:val="-"/>
      <w:lvlJc w:val="left"/>
      <w:pPr>
        <w:tabs>
          <w:tab w:val="num" w:pos="2880"/>
        </w:tabs>
        <w:ind w:left="2880" w:hanging="360"/>
      </w:pPr>
      <w:rPr>
        <w:rFonts w:ascii="Times New Roman" w:hAnsi="Times New Roman" w:hint="default"/>
      </w:rPr>
    </w:lvl>
    <w:lvl w:ilvl="4" w:tplc="B3E49ED6" w:tentative="1">
      <w:start w:val="1"/>
      <w:numFmt w:val="bullet"/>
      <w:lvlText w:val="-"/>
      <w:lvlJc w:val="left"/>
      <w:pPr>
        <w:tabs>
          <w:tab w:val="num" w:pos="3600"/>
        </w:tabs>
        <w:ind w:left="3600" w:hanging="360"/>
      </w:pPr>
      <w:rPr>
        <w:rFonts w:ascii="Times New Roman" w:hAnsi="Times New Roman" w:hint="default"/>
      </w:rPr>
    </w:lvl>
    <w:lvl w:ilvl="5" w:tplc="E2FA26A0" w:tentative="1">
      <w:start w:val="1"/>
      <w:numFmt w:val="bullet"/>
      <w:lvlText w:val="-"/>
      <w:lvlJc w:val="left"/>
      <w:pPr>
        <w:tabs>
          <w:tab w:val="num" w:pos="4320"/>
        </w:tabs>
        <w:ind w:left="4320" w:hanging="360"/>
      </w:pPr>
      <w:rPr>
        <w:rFonts w:ascii="Times New Roman" w:hAnsi="Times New Roman" w:hint="default"/>
      </w:rPr>
    </w:lvl>
    <w:lvl w:ilvl="6" w:tplc="0EC8785E" w:tentative="1">
      <w:start w:val="1"/>
      <w:numFmt w:val="bullet"/>
      <w:lvlText w:val="-"/>
      <w:lvlJc w:val="left"/>
      <w:pPr>
        <w:tabs>
          <w:tab w:val="num" w:pos="5040"/>
        </w:tabs>
        <w:ind w:left="5040" w:hanging="360"/>
      </w:pPr>
      <w:rPr>
        <w:rFonts w:ascii="Times New Roman" w:hAnsi="Times New Roman" w:hint="default"/>
      </w:rPr>
    </w:lvl>
    <w:lvl w:ilvl="7" w:tplc="362A436C" w:tentative="1">
      <w:start w:val="1"/>
      <w:numFmt w:val="bullet"/>
      <w:lvlText w:val="-"/>
      <w:lvlJc w:val="left"/>
      <w:pPr>
        <w:tabs>
          <w:tab w:val="num" w:pos="5760"/>
        </w:tabs>
        <w:ind w:left="5760" w:hanging="360"/>
      </w:pPr>
      <w:rPr>
        <w:rFonts w:ascii="Times New Roman" w:hAnsi="Times New Roman" w:hint="default"/>
      </w:rPr>
    </w:lvl>
    <w:lvl w:ilvl="8" w:tplc="E1FAB2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87524C"/>
    <w:multiLevelType w:val="hybridMultilevel"/>
    <w:tmpl w:val="E6EA387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807AE2"/>
    <w:multiLevelType w:val="hybridMultilevel"/>
    <w:tmpl w:val="D26CEF54"/>
    <w:lvl w:ilvl="0" w:tplc="60CAA1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107F6"/>
    <w:multiLevelType w:val="hybridMultilevel"/>
    <w:tmpl w:val="0D5AA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5A3A9E"/>
    <w:multiLevelType w:val="multilevel"/>
    <w:tmpl w:val="0AA6ED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26858C5"/>
    <w:multiLevelType w:val="hybridMultilevel"/>
    <w:tmpl w:val="D4F436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316278"/>
    <w:multiLevelType w:val="hybridMultilevel"/>
    <w:tmpl w:val="E452C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D25495C"/>
    <w:multiLevelType w:val="hybridMultilevel"/>
    <w:tmpl w:val="36FE0148"/>
    <w:lvl w:ilvl="0" w:tplc="A89E287A">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51D10E99"/>
    <w:multiLevelType w:val="hybridMultilevel"/>
    <w:tmpl w:val="3558EBE2"/>
    <w:lvl w:ilvl="0" w:tplc="8834A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C55B12"/>
    <w:multiLevelType w:val="hybridMultilevel"/>
    <w:tmpl w:val="55F645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D846518"/>
    <w:multiLevelType w:val="hybridMultilevel"/>
    <w:tmpl w:val="77849396"/>
    <w:lvl w:ilvl="0" w:tplc="0E900C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A6858"/>
    <w:multiLevelType w:val="hybridMultilevel"/>
    <w:tmpl w:val="8B526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F427BF"/>
    <w:multiLevelType w:val="hybridMultilevel"/>
    <w:tmpl w:val="F5320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5F4115F"/>
    <w:multiLevelType w:val="hybridMultilevel"/>
    <w:tmpl w:val="170C9166"/>
    <w:lvl w:ilvl="0" w:tplc="986CEF6C">
      <w:numFmt w:val="bullet"/>
      <w:lvlText w:val="-"/>
      <w:lvlJc w:val="left"/>
      <w:pPr>
        <w:ind w:left="720" w:hanging="360"/>
      </w:pPr>
      <w:rPr>
        <w:rFonts w:ascii="Calibri" w:eastAsia="Calibri" w:hAnsi="Calibri" w:cs="Times New Roman" w:hint="default"/>
      </w:rPr>
    </w:lvl>
    <w:lvl w:ilvl="1" w:tplc="8196ECA4">
      <w:numFmt w:val="bullet"/>
      <w:lvlText w:val="–"/>
      <w:lvlJc w:val="left"/>
      <w:pPr>
        <w:ind w:left="1440" w:hanging="360"/>
      </w:pPr>
      <w:rPr>
        <w:rFonts w:ascii="Times New Roman" w:eastAsia="Calibri" w:hAnsi="Times New Roman" w:cs="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9D72CF8"/>
    <w:multiLevelType w:val="hybridMultilevel"/>
    <w:tmpl w:val="38709108"/>
    <w:lvl w:ilvl="0" w:tplc="F032600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A5642DE"/>
    <w:multiLevelType w:val="hybridMultilevel"/>
    <w:tmpl w:val="558C4E22"/>
    <w:lvl w:ilvl="0" w:tplc="E01C0DB2">
      <w:start w:val="1"/>
      <w:numFmt w:val="decimal"/>
      <w:lvlText w:val="%1."/>
      <w:lvlJc w:val="left"/>
      <w:pPr>
        <w:ind w:left="360" w:hanging="360"/>
      </w:pPr>
      <w:rPr>
        <w:rFonts w:ascii="Arial" w:hAnsi="Arial" w:cs="Arial" w:hint="default"/>
        <w:b/>
        <w:color w:val="2F5496" w:themeColor="accent1" w:themeShade="BF"/>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4C72EF"/>
    <w:multiLevelType w:val="hybridMultilevel"/>
    <w:tmpl w:val="25464E84"/>
    <w:lvl w:ilvl="0" w:tplc="738E9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F53CC"/>
    <w:multiLevelType w:val="hybridMultilevel"/>
    <w:tmpl w:val="9300E6BE"/>
    <w:lvl w:ilvl="0" w:tplc="1DE07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D22D4"/>
    <w:multiLevelType w:val="hybridMultilevel"/>
    <w:tmpl w:val="69A44902"/>
    <w:lvl w:ilvl="0" w:tplc="2C181942">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322758"/>
    <w:multiLevelType w:val="hybridMultilevel"/>
    <w:tmpl w:val="7C5C7B90"/>
    <w:lvl w:ilvl="0" w:tplc="73D64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E207CB"/>
    <w:multiLevelType w:val="hybridMultilevel"/>
    <w:tmpl w:val="61CEA6AE"/>
    <w:lvl w:ilvl="0" w:tplc="8196ECA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1"/>
  </w:num>
  <w:num w:numId="4">
    <w:abstractNumId w:val="1"/>
  </w:num>
  <w:num w:numId="5">
    <w:abstractNumId w:val="3"/>
  </w:num>
  <w:num w:numId="6">
    <w:abstractNumId w:val="22"/>
  </w:num>
  <w:num w:numId="7">
    <w:abstractNumId w:val="15"/>
  </w:num>
  <w:num w:numId="8">
    <w:abstractNumId w:val="28"/>
  </w:num>
  <w:num w:numId="9">
    <w:abstractNumId w:val="23"/>
  </w:num>
  <w:num w:numId="10">
    <w:abstractNumId w:val="9"/>
  </w:num>
  <w:num w:numId="11">
    <w:abstractNumId w:val="11"/>
  </w:num>
  <w:num w:numId="12">
    <w:abstractNumId w:val="6"/>
  </w:num>
  <w:num w:numId="13">
    <w:abstractNumId w:val="13"/>
  </w:num>
  <w:num w:numId="14">
    <w:abstractNumId w:val="10"/>
  </w:num>
  <w:num w:numId="15">
    <w:abstractNumId w:val="18"/>
  </w:num>
  <w:num w:numId="16">
    <w:abstractNumId w:val="7"/>
  </w:num>
  <w:num w:numId="17">
    <w:abstractNumId w:val="19"/>
  </w:num>
  <w:num w:numId="18">
    <w:abstractNumId w:val="26"/>
  </w:num>
  <w:num w:numId="19">
    <w:abstractNumId w:val="14"/>
  </w:num>
  <w:num w:numId="20">
    <w:abstractNumId w:val="20"/>
  </w:num>
  <w:num w:numId="21">
    <w:abstractNumId w:val="17"/>
  </w:num>
  <w:num w:numId="22">
    <w:abstractNumId w:val="4"/>
  </w:num>
  <w:num w:numId="23">
    <w:abstractNumId w:val="8"/>
  </w:num>
  <w:num w:numId="24">
    <w:abstractNumId w:val="16"/>
  </w:num>
  <w:num w:numId="25">
    <w:abstractNumId w:val="27"/>
  </w:num>
  <w:num w:numId="26">
    <w:abstractNumId w:val="25"/>
  </w:num>
  <w:num w:numId="27">
    <w:abstractNumId w:val="5"/>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09"/>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A2"/>
    <w:rsid w:val="00000807"/>
    <w:rsid w:val="000045D8"/>
    <w:rsid w:val="00004CD3"/>
    <w:rsid w:val="00005060"/>
    <w:rsid w:val="000051E1"/>
    <w:rsid w:val="00006465"/>
    <w:rsid w:val="00016C63"/>
    <w:rsid w:val="00017366"/>
    <w:rsid w:val="0002038B"/>
    <w:rsid w:val="00021AA0"/>
    <w:rsid w:val="00022456"/>
    <w:rsid w:val="000226AB"/>
    <w:rsid w:val="0002464B"/>
    <w:rsid w:val="000264A4"/>
    <w:rsid w:val="0002691D"/>
    <w:rsid w:val="00027F02"/>
    <w:rsid w:val="00030436"/>
    <w:rsid w:val="00031788"/>
    <w:rsid w:val="000352EE"/>
    <w:rsid w:val="0003567A"/>
    <w:rsid w:val="00035897"/>
    <w:rsid w:val="00036324"/>
    <w:rsid w:val="00037F5E"/>
    <w:rsid w:val="000404DD"/>
    <w:rsid w:val="00040F6D"/>
    <w:rsid w:val="00042241"/>
    <w:rsid w:val="00046A7F"/>
    <w:rsid w:val="00046BA3"/>
    <w:rsid w:val="00047A26"/>
    <w:rsid w:val="00050333"/>
    <w:rsid w:val="00052824"/>
    <w:rsid w:val="00052CA2"/>
    <w:rsid w:val="00054ACD"/>
    <w:rsid w:val="000560AD"/>
    <w:rsid w:val="00057D32"/>
    <w:rsid w:val="00060925"/>
    <w:rsid w:val="00061389"/>
    <w:rsid w:val="0006341C"/>
    <w:rsid w:val="00065883"/>
    <w:rsid w:val="00066286"/>
    <w:rsid w:val="00067A32"/>
    <w:rsid w:val="0007416F"/>
    <w:rsid w:val="00075B23"/>
    <w:rsid w:val="00081B6E"/>
    <w:rsid w:val="00082172"/>
    <w:rsid w:val="00084131"/>
    <w:rsid w:val="0008423A"/>
    <w:rsid w:val="00084D49"/>
    <w:rsid w:val="00084DA3"/>
    <w:rsid w:val="000857FF"/>
    <w:rsid w:val="00087A08"/>
    <w:rsid w:val="0009446D"/>
    <w:rsid w:val="000945C1"/>
    <w:rsid w:val="000968ED"/>
    <w:rsid w:val="00097973"/>
    <w:rsid w:val="000A5FA2"/>
    <w:rsid w:val="000A6021"/>
    <w:rsid w:val="000A75D2"/>
    <w:rsid w:val="000B665C"/>
    <w:rsid w:val="000C3712"/>
    <w:rsid w:val="000C4129"/>
    <w:rsid w:val="000C6C97"/>
    <w:rsid w:val="000D0F32"/>
    <w:rsid w:val="000D66D2"/>
    <w:rsid w:val="000E0BF9"/>
    <w:rsid w:val="000E0FDA"/>
    <w:rsid w:val="000E1152"/>
    <w:rsid w:val="000E3385"/>
    <w:rsid w:val="000E4D1D"/>
    <w:rsid w:val="000E65D6"/>
    <w:rsid w:val="000E7C57"/>
    <w:rsid w:val="000F1DEB"/>
    <w:rsid w:val="000F6EFB"/>
    <w:rsid w:val="000F7E36"/>
    <w:rsid w:val="00100180"/>
    <w:rsid w:val="00100943"/>
    <w:rsid w:val="00100AFC"/>
    <w:rsid w:val="00101203"/>
    <w:rsid w:val="00101E88"/>
    <w:rsid w:val="001045B8"/>
    <w:rsid w:val="00105997"/>
    <w:rsid w:val="00111B33"/>
    <w:rsid w:val="001139DC"/>
    <w:rsid w:val="0011600E"/>
    <w:rsid w:val="001170CE"/>
    <w:rsid w:val="00120084"/>
    <w:rsid w:val="00120E5C"/>
    <w:rsid w:val="00123A41"/>
    <w:rsid w:val="001251F6"/>
    <w:rsid w:val="001267C2"/>
    <w:rsid w:val="00126F79"/>
    <w:rsid w:val="001305C7"/>
    <w:rsid w:val="00136ABB"/>
    <w:rsid w:val="0014294F"/>
    <w:rsid w:val="0014769F"/>
    <w:rsid w:val="00150E77"/>
    <w:rsid w:val="00151576"/>
    <w:rsid w:val="00151CC3"/>
    <w:rsid w:val="00155666"/>
    <w:rsid w:val="0015581E"/>
    <w:rsid w:val="00156A98"/>
    <w:rsid w:val="00157BEB"/>
    <w:rsid w:val="00160723"/>
    <w:rsid w:val="00161254"/>
    <w:rsid w:val="00161A95"/>
    <w:rsid w:val="00161F57"/>
    <w:rsid w:val="00162CBF"/>
    <w:rsid w:val="00163105"/>
    <w:rsid w:val="001643E1"/>
    <w:rsid w:val="00164D51"/>
    <w:rsid w:val="001654D2"/>
    <w:rsid w:val="00166F31"/>
    <w:rsid w:val="00170207"/>
    <w:rsid w:val="001744CE"/>
    <w:rsid w:val="001837CF"/>
    <w:rsid w:val="00185042"/>
    <w:rsid w:val="00187667"/>
    <w:rsid w:val="00195366"/>
    <w:rsid w:val="00195432"/>
    <w:rsid w:val="00195654"/>
    <w:rsid w:val="00195EA1"/>
    <w:rsid w:val="001A05B3"/>
    <w:rsid w:val="001A3F55"/>
    <w:rsid w:val="001A5BCA"/>
    <w:rsid w:val="001A7F91"/>
    <w:rsid w:val="001B2C30"/>
    <w:rsid w:val="001B2ECA"/>
    <w:rsid w:val="001B3EEA"/>
    <w:rsid w:val="001B4312"/>
    <w:rsid w:val="001B4E6A"/>
    <w:rsid w:val="001B5778"/>
    <w:rsid w:val="001B66FB"/>
    <w:rsid w:val="001C2FD5"/>
    <w:rsid w:val="001C556E"/>
    <w:rsid w:val="001C57A7"/>
    <w:rsid w:val="001C6762"/>
    <w:rsid w:val="001C74CF"/>
    <w:rsid w:val="001D05A6"/>
    <w:rsid w:val="001D401B"/>
    <w:rsid w:val="001D44B6"/>
    <w:rsid w:val="001D62F7"/>
    <w:rsid w:val="001D7528"/>
    <w:rsid w:val="001E0133"/>
    <w:rsid w:val="001E21D7"/>
    <w:rsid w:val="001E50F1"/>
    <w:rsid w:val="001E57E9"/>
    <w:rsid w:val="001E69C6"/>
    <w:rsid w:val="001E7285"/>
    <w:rsid w:val="001F03E2"/>
    <w:rsid w:val="001F208B"/>
    <w:rsid w:val="001F293A"/>
    <w:rsid w:val="001F513A"/>
    <w:rsid w:val="001F5ADC"/>
    <w:rsid w:val="001F7A6F"/>
    <w:rsid w:val="0020238E"/>
    <w:rsid w:val="00202C0C"/>
    <w:rsid w:val="002036DB"/>
    <w:rsid w:val="00204559"/>
    <w:rsid w:val="00204E83"/>
    <w:rsid w:val="0021000C"/>
    <w:rsid w:val="0021140E"/>
    <w:rsid w:val="00211E76"/>
    <w:rsid w:val="002130B0"/>
    <w:rsid w:val="002151AC"/>
    <w:rsid w:val="002153F7"/>
    <w:rsid w:val="00217D13"/>
    <w:rsid w:val="00223463"/>
    <w:rsid w:val="00223928"/>
    <w:rsid w:val="002271E1"/>
    <w:rsid w:val="002303C0"/>
    <w:rsid w:val="00230B90"/>
    <w:rsid w:val="0023129A"/>
    <w:rsid w:val="00231D70"/>
    <w:rsid w:val="00237F37"/>
    <w:rsid w:val="00241FCC"/>
    <w:rsid w:val="00246E80"/>
    <w:rsid w:val="002500C9"/>
    <w:rsid w:val="00251AA2"/>
    <w:rsid w:val="00251C39"/>
    <w:rsid w:val="00251FE0"/>
    <w:rsid w:val="00252D26"/>
    <w:rsid w:val="002530E5"/>
    <w:rsid w:val="00253566"/>
    <w:rsid w:val="00253C50"/>
    <w:rsid w:val="00253C85"/>
    <w:rsid w:val="00256C7E"/>
    <w:rsid w:val="002576B2"/>
    <w:rsid w:val="00260C74"/>
    <w:rsid w:val="00260D0B"/>
    <w:rsid w:val="002616AB"/>
    <w:rsid w:val="00261928"/>
    <w:rsid w:val="00262179"/>
    <w:rsid w:val="002621D3"/>
    <w:rsid w:val="002633FE"/>
    <w:rsid w:val="002639E0"/>
    <w:rsid w:val="00263F04"/>
    <w:rsid w:val="00264109"/>
    <w:rsid w:val="00264F1E"/>
    <w:rsid w:val="00265B17"/>
    <w:rsid w:val="00266DCD"/>
    <w:rsid w:val="00266F65"/>
    <w:rsid w:val="00271E05"/>
    <w:rsid w:val="00272800"/>
    <w:rsid w:val="002731BD"/>
    <w:rsid w:val="00273D4C"/>
    <w:rsid w:val="00275F12"/>
    <w:rsid w:val="0028240F"/>
    <w:rsid w:val="002828EC"/>
    <w:rsid w:val="00283348"/>
    <w:rsid w:val="00283582"/>
    <w:rsid w:val="0028374E"/>
    <w:rsid w:val="00284463"/>
    <w:rsid w:val="00285BD2"/>
    <w:rsid w:val="00285D0E"/>
    <w:rsid w:val="00285DC5"/>
    <w:rsid w:val="002869DF"/>
    <w:rsid w:val="0028700C"/>
    <w:rsid w:val="00293B9D"/>
    <w:rsid w:val="00293E03"/>
    <w:rsid w:val="002941B0"/>
    <w:rsid w:val="0029537C"/>
    <w:rsid w:val="00295F69"/>
    <w:rsid w:val="002974EB"/>
    <w:rsid w:val="002A32C7"/>
    <w:rsid w:val="002A4DDF"/>
    <w:rsid w:val="002A6C02"/>
    <w:rsid w:val="002A76FD"/>
    <w:rsid w:val="002B1AA2"/>
    <w:rsid w:val="002B2846"/>
    <w:rsid w:val="002B4039"/>
    <w:rsid w:val="002B51C1"/>
    <w:rsid w:val="002B75E5"/>
    <w:rsid w:val="002C0EFC"/>
    <w:rsid w:val="002C279E"/>
    <w:rsid w:val="002C325C"/>
    <w:rsid w:val="002D03CB"/>
    <w:rsid w:val="002D1710"/>
    <w:rsid w:val="002D176E"/>
    <w:rsid w:val="002D1960"/>
    <w:rsid w:val="002D27C8"/>
    <w:rsid w:val="002D4388"/>
    <w:rsid w:val="002D72E5"/>
    <w:rsid w:val="002E3F2C"/>
    <w:rsid w:val="002E46D5"/>
    <w:rsid w:val="002E7F6A"/>
    <w:rsid w:val="00300014"/>
    <w:rsid w:val="0030050E"/>
    <w:rsid w:val="003058FF"/>
    <w:rsid w:val="003105E2"/>
    <w:rsid w:val="0031144A"/>
    <w:rsid w:val="00311A7F"/>
    <w:rsid w:val="00314331"/>
    <w:rsid w:val="0032293C"/>
    <w:rsid w:val="003252EB"/>
    <w:rsid w:val="003279EE"/>
    <w:rsid w:val="00330F28"/>
    <w:rsid w:val="00331674"/>
    <w:rsid w:val="00334DFA"/>
    <w:rsid w:val="003354AB"/>
    <w:rsid w:val="003375B8"/>
    <w:rsid w:val="003452E4"/>
    <w:rsid w:val="00346DEB"/>
    <w:rsid w:val="00351DC2"/>
    <w:rsid w:val="00355500"/>
    <w:rsid w:val="00356D5B"/>
    <w:rsid w:val="00357585"/>
    <w:rsid w:val="00363062"/>
    <w:rsid w:val="0036342D"/>
    <w:rsid w:val="00363E25"/>
    <w:rsid w:val="003643BB"/>
    <w:rsid w:val="00364EEA"/>
    <w:rsid w:val="00366E34"/>
    <w:rsid w:val="00367733"/>
    <w:rsid w:val="00375793"/>
    <w:rsid w:val="00375DC7"/>
    <w:rsid w:val="003765B2"/>
    <w:rsid w:val="00381681"/>
    <w:rsid w:val="00384C54"/>
    <w:rsid w:val="00385B92"/>
    <w:rsid w:val="003875E4"/>
    <w:rsid w:val="0039096A"/>
    <w:rsid w:val="00390C88"/>
    <w:rsid w:val="003935BF"/>
    <w:rsid w:val="00395EFD"/>
    <w:rsid w:val="0039641F"/>
    <w:rsid w:val="0039735B"/>
    <w:rsid w:val="00397C31"/>
    <w:rsid w:val="00397DEC"/>
    <w:rsid w:val="003A1961"/>
    <w:rsid w:val="003A2B45"/>
    <w:rsid w:val="003A2C2E"/>
    <w:rsid w:val="003A5697"/>
    <w:rsid w:val="003B0802"/>
    <w:rsid w:val="003B3336"/>
    <w:rsid w:val="003B3446"/>
    <w:rsid w:val="003B39EE"/>
    <w:rsid w:val="003C0116"/>
    <w:rsid w:val="003C0C6B"/>
    <w:rsid w:val="003C13E8"/>
    <w:rsid w:val="003C1AF1"/>
    <w:rsid w:val="003C5715"/>
    <w:rsid w:val="003C6BA7"/>
    <w:rsid w:val="003C751E"/>
    <w:rsid w:val="003C797A"/>
    <w:rsid w:val="003D0E90"/>
    <w:rsid w:val="003D1216"/>
    <w:rsid w:val="003D1A6B"/>
    <w:rsid w:val="003D1FA0"/>
    <w:rsid w:val="003D3982"/>
    <w:rsid w:val="003D454B"/>
    <w:rsid w:val="003D610D"/>
    <w:rsid w:val="003E442F"/>
    <w:rsid w:val="003E6A01"/>
    <w:rsid w:val="003F0B90"/>
    <w:rsid w:val="003F3262"/>
    <w:rsid w:val="003F4988"/>
    <w:rsid w:val="003F6A02"/>
    <w:rsid w:val="00400094"/>
    <w:rsid w:val="004003CA"/>
    <w:rsid w:val="00405178"/>
    <w:rsid w:val="00406531"/>
    <w:rsid w:val="004074FD"/>
    <w:rsid w:val="00410C0F"/>
    <w:rsid w:val="00411D29"/>
    <w:rsid w:val="00412BC7"/>
    <w:rsid w:val="00413031"/>
    <w:rsid w:val="00413262"/>
    <w:rsid w:val="00413EB5"/>
    <w:rsid w:val="004142B9"/>
    <w:rsid w:val="0041754B"/>
    <w:rsid w:val="00420AF3"/>
    <w:rsid w:val="00422F37"/>
    <w:rsid w:val="00423033"/>
    <w:rsid w:val="00423EF7"/>
    <w:rsid w:val="00424DAD"/>
    <w:rsid w:val="0042766E"/>
    <w:rsid w:val="00431677"/>
    <w:rsid w:val="00431B6A"/>
    <w:rsid w:val="00432346"/>
    <w:rsid w:val="0043341B"/>
    <w:rsid w:val="0043396D"/>
    <w:rsid w:val="00435B03"/>
    <w:rsid w:val="00436066"/>
    <w:rsid w:val="0044037E"/>
    <w:rsid w:val="00440A09"/>
    <w:rsid w:val="004416ED"/>
    <w:rsid w:val="00443180"/>
    <w:rsid w:val="00444DFB"/>
    <w:rsid w:val="00445956"/>
    <w:rsid w:val="00445D2B"/>
    <w:rsid w:val="00446239"/>
    <w:rsid w:val="00451DCA"/>
    <w:rsid w:val="004533C6"/>
    <w:rsid w:val="004574EA"/>
    <w:rsid w:val="004600EE"/>
    <w:rsid w:val="00461A05"/>
    <w:rsid w:val="004655CB"/>
    <w:rsid w:val="00466E53"/>
    <w:rsid w:val="0047327E"/>
    <w:rsid w:val="00480ED9"/>
    <w:rsid w:val="00486615"/>
    <w:rsid w:val="00491D85"/>
    <w:rsid w:val="00493A3E"/>
    <w:rsid w:val="004953FD"/>
    <w:rsid w:val="004A0595"/>
    <w:rsid w:val="004A1885"/>
    <w:rsid w:val="004A3437"/>
    <w:rsid w:val="004A6862"/>
    <w:rsid w:val="004A6F83"/>
    <w:rsid w:val="004B1172"/>
    <w:rsid w:val="004B2B49"/>
    <w:rsid w:val="004B2D2C"/>
    <w:rsid w:val="004B3380"/>
    <w:rsid w:val="004B3E05"/>
    <w:rsid w:val="004B48D7"/>
    <w:rsid w:val="004B64D5"/>
    <w:rsid w:val="004C08BE"/>
    <w:rsid w:val="004C1EA1"/>
    <w:rsid w:val="004C22D1"/>
    <w:rsid w:val="004C7280"/>
    <w:rsid w:val="004D2892"/>
    <w:rsid w:val="004D4A31"/>
    <w:rsid w:val="004D4F15"/>
    <w:rsid w:val="004D70BD"/>
    <w:rsid w:val="004E1290"/>
    <w:rsid w:val="004E1857"/>
    <w:rsid w:val="004E1CB0"/>
    <w:rsid w:val="004E380F"/>
    <w:rsid w:val="004E4AF8"/>
    <w:rsid w:val="004F2F28"/>
    <w:rsid w:val="004F3D39"/>
    <w:rsid w:val="0050084C"/>
    <w:rsid w:val="00501176"/>
    <w:rsid w:val="00506043"/>
    <w:rsid w:val="005066BD"/>
    <w:rsid w:val="00506815"/>
    <w:rsid w:val="00507E68"/>
    <w:rsid w:val="005142C2"/>
    <w:rsid w:val="00515850"/>
    <w:rsid w:val="00516807"/>
    <w:rsid w:val="00517F1F"/>
    <w:rsid w:val="00522E38"/>
    <w:rsid w:val="005230A3"/>
    <w:rsid w:val="0052666F"/>
    <w:rsid w:val="0052713D"/>
    <w:rsid w:val="00532A0E"/>
    <w:rsid w:val="005346A2"/>
    <w:rsid w:val="005348C8"/>
    <w:rsid w:val="00534B46"/>
    <w:rsid w:val="005365BE"/>
    <w:rsid w:val="00536F22"/>
    <w:rsid w:val="00537B5D"/>
    <w:rsid w:val="00540469"/>
    <w:rsid w:val="00541934"/>
    <w:rsid w:val="00542E99"/>
    <w:rsid w:val="00543FD5"/>
    <w:rsid w:val="005442D9"/>
    <w:rsid w:val="00544C27"/>
    <w:rsid w:val="0054621B"/>
    <w:rsid w:val="00550990"/>
    <w:rsid w:val="00551FC1"/>
    <w:rsid w:val="00555081"/>
    <w:rsid w:val="0055684E"/>
    <w:rsid w:val="00561858"/>
    <w:rsid w:val="005641C2"/>
    <w:rsid w:val="00564BE1"/>
    <w:rsid w:val="0056716D"/>
    <w:rsid w:val="00571120"/>
    <w:rsid w:val="0057245F"/>
    <w:rsid w:val="00573601"/>
    <w:rsid w:val="005736EA"/>
    <w:rsid w:val="00573747"/>
    <w:rsid w:val="0057656E"/>
    <w:rsid w:val="00576686"/>
    <w:rsid w:val="00580200"/>
    <w:rsid w:val="005822D0"/>
    <w:rsid w:val="0058234A"/>
    <w:rsid w:val="00583421"/>
    <w:rsid w:val="00583BE6"/>
    <w:rsid w:val="00585253"/>
    <w:rsid w:val="0058578E"/>
    <w:rsid w:val="005877E3"/>
    <w:rsid w:val="005922CC"/>
    <w:rsid w:val="0059330D"/>
    <w:rsid w:val="00595D9F"/>
    <w:rsid w:val="0059722C"/>
    <w:rsid w:val="00597FF7"/>
    <w:rsid w:val="005A0398"/>
    <w:rsid w:val="005A1D22"/>
    <w:rsid w:val="005A23B9"/>
    <w:rsid w:val="005A4166"/>
    <w:rsid w:val="005A60F3"/>
    <w:rsid w:val="005A680A"/>
    <w:rsid w:val="005B2974"/>
    <w:rsid w:val="005B3BDD"/>
    <w:rsid w:val="005B4495"/>
    <w:rsid w:val="005C2298"/>
    <w:rsid w:val="005C31C4"/>
    <w:rsid w:val="005C5E32"/>
    <w:rsid w:val="005C6335"/>
    <w:rsid w:val="005C7A09"/>
    <w:rsid w:val="005C7D82"/>
    <w:rsid w:val="005D2F1B"/>
    <w:rsid w:val="005D3173"/>
    <w:rsid w:val="005E360C"/>
    <w:rsid w:val="005E3F1F"/>
    <w:rsid w:val="005E5464"/>
    <w:rsid w:val="005F2121"/>
    <w:rsid w:val="005F409C"/>
    <w:rsid w:val="00600FE1"/>
    <w:rsid w:val="00602BE5"/>
    <w:rsid w:val="006031D7"/>
    <w:rsid w:val="00605499"/>
    <w:rsid w:val="00607D34"/>
    <w:rsid w:val="00610712"/>
    <w:rsid w:val="006135BF"/>
    <w:rsid w:val="00617736"/>
    <w:rsid w:val="00617CFA"/>
    <w:rsid w:val="006238B0"/>
    <w:rsid w:val="0062462A"/>
    <w:rsid w:val="006261DB"/>
    <w:rsid w:val="00627A26"/>
    <w:rsid w:val="00627FBA"/>
    <w:rsid w:val="00631A0C"/>
    <w:rsid w:val="006356CF"/>
    <w:rsid w:val="0064027C"/>
    <w:rsid w:val="00640C00"/>
    <w:rsid w:val="006414DD"/>
    <w:rsid w:val="0064417A"/>
    <w:rsid w:val="00644731"/>
    <w:rsid w:val="00644D77"/>
    <w:rsid w:val="00645821"/>
    <w:rsid w:val="00650458"/>
    <w:rsid w:val="00650D47"/>
    <w:rsid w:val="00652F64"/>
    <w:rsid w:val="00653206"/>
    <w:rsid w:val="00653DC2"/>
    <w:rsid w:val="006568F6"/>
    <w:rsid w:val="006615ED"/>
    <w:rsid w:val="0066260F"/>
    <w:rsid w:val="006627F2"/>
    <w:rsid w:val="00665146"/>
    <w:rsid w:val="00666BD8"/>
    <w:rsid w:val="00671F1B"/>
    <w:rsid w:val="0067380C"/>
    <w:rsid w:val="00677BD7"/>
    <w:rsid w:val="006802DE"/>
    <w:rsid w:val="00680512"/>
    <w:rsid w:val="006855BB"/>
    <w:rsid w:val="00694370"/>
    <w:rsid w:val="00696860"/>
    <w:rsid w:val="006A3702"/>
    <w:rsid w:val="006A6125"/>
    <w:rsid w:val="006A74AD"/>
    <w:rsid w:val="006A7D99"/>
    <w:rsid w:val="006B0169"/>
    <w:rsid w:val="006B0E34"/>
    <w:rsid w:val="006B2298"/>
    <w:rsid w:val="006B5E3D"/>
    <w:rsid w:val="006B649A"/>
    <w:rsid w:val="006B6C30"/>
    <w:rsid w:val="006B773B"/>
    <w:rsid w:val="006C218C"/>
    <w:rsid w:val="006C2375"/>
    <w:rsid w:val="006D1642"/>
    <w:rsid w:val="006D2DC2"/>
    <w:rsid w:val="006D31DB"/>
    <w:rsid w:val="006D3695"/>
    <w:rsid w:val="006D468E"/>
    <w:rsid w:val="006D515D"/>
    <w:rsid w:val="006D5992"/>
    <w:rsid w:val="006D6692"/>
    <w:rsid w:val="006E04C3"/>
    <w:rsid w:val="006E1984"/>
    <w:rsid w:val="006E339A"/>
    <w:rsid w:val="006E3949"/>
    <w:rsid w:val="006F213D"/>
    <w:rsid w:val="006F5D5B"/>
    <w:rsid w:val="006F7125"/>
    <w:rsid w:val="006F7422"/>
    <w:rsid w:val="006F7FDD"/>
    <w:rsid w:val="00700648"/>
    <w:rsid w:val="00701CA4"/>
    <w:rsid w:val="007024CB"/>
    <w:rsid w:val="00705720"/>
    <w:rsid w:val="00705C77"/>
    <w:rsid w:val="00707E05"/>
    <w:rsid w:val="00711B19"/>
    <w:rsid w:val="00716822"/>
    <w:rsid w:val="00717903"/>
    <w:rsid w:val="007241FD"/>
    <w:rsid w:val="0072596B"/>
    <w:rsid w:val="00725DB0"/>
    <w:rsid w:val="0073001E"/>
    <w:rsid w:val="00732E9E"/>
    <w:rsid w:val="00733A22"/>
    <w:rsid w:val="00735052"/>
    <w:rsid w:val="007355CF"/>
    <w:rsid w:val="00736B8C"/>
    <w:rsid w:val="0073724A"/>
    <w:rsid w:val="00740B8A"/>
    <w:rsid w:val="007414D2"/>
    <w:rsid w:val="0074285A"/>
    <w:rsid w:val="00742E01"/>
    <w:rsid w:val="0074398B"/>
    <w:rsid w:val="00743C31"/>
    <w:rsid w:val="00744135"/>
    <w:rsid w:val="00745FE1"/>
    <w:rsid w:val="00747E67"/>
    <w:rsid w:val="00750EA4"/>
    <w:rsid w:val="0075106B"/>
    <w:rsid w:val="0075491E"/>
    <w:rsid w:val="007554FF"/>
    <w:rsid w:val="007561BC"/>
    <w:rsid w:val="007623DD"/>
    <w:rsid w:val="0076522E"/>
    <w:rsid w:val="00774A4E"/>
    <w:rsid w:val="007802A7"/>
    <w:rsid w:val="00780386"/>
    <w:rsid w:val="00780EE0"/>
    <w:rsid w:val="00781361"/>
    <w:rsid w:val="00783A90"/>
    <w:rsid w:val="00785466"/>
    <w:rsid w:val="007871A4"/>
    <w:rsid w:val="0079246B"/>
    <w:rsid w:val="007968FB"/>
    <w:rsid w:val="00796BE5"/>
    <w:rsid w:val="00796C94"/>
    <w:rsid w:val="007A0252"/>
    <w:rsid w:val="007A158B"/>
    <w:rsid w:val="007A3387"/>
    <w:rsid w:val="007A60B7"/>
    <w:rsid w:val="007B1DB0"/>
    <w:rsid w:val="007B38E2"/>
    <w:rsid w:val="007B5208"/>
    <w:rsid w:val="007B551B"/>
    <w:rsid w:val="007B7CC4"/>
    <w:rsid w:val="007C2F22"/>
    <w:rsid w:val="007C3286"/>
    <w:rsid w:val="007C49EA"/>
    <w:rsid w:val="007C531D"/>
    <w:rsid w:val="007C6A41"/>
    <w:rsid w:val="007C702E"/>
    <w:rsid w:val="007D4004"/>
    <w:rsid w:val="007D44E0"/>
    <w:rsid w:val="007E04D9"/>
    <w:rsid w:val="007E0B2E"/>
    <w:rsid w:val="007E20D6"/>
    <w:rsid w:val="007E31E8"/>
    <w:rsid w:val="007E46C0"/>
    <w:rsid w:val="007E5F6C"/>
    <w:rsid w:val="007E794D"/>
    <w:rsid w:val="007F1507"/>
    <w:rsid w:val="007F2018"/>
    <w:rsid w:val="007F2EB4"/>
    <w:rsid w:val="007F3395"/>
    <w:rsid w:val="007F4174"/>
    <w:rsid w:val="007F6799"/>
    <w:rsid w:val="007F7A75"/>
    <w:rsid w:val="00800776"/>
    <w:rsid w:val="00800BC8"/>
    <w:rsid w:val="00800C17"/>
    <w:rsid w:val="008014BA"/>
    <w:rsid w:val="008042EE"/>
    <w:rsid w:val="00812A8F"/>
    <w:rsid w:val="008135BF"/>
    <w:rsid w:val="00816E50"/>
    <w:rsid w:val="00817331"/>
    <w:rsid w:val="00820674"/>
    <w:rsid w:val="00820B92"/>
    <w:rsid w:val="00821395"/>
    <w:rsid w:val="00821667"/>
    <w:rsid w:val="00822392"/>
    <w:rsid w:val="0082352F"/>
    <w:rsid w:val="008239C8"/>
    <w:rsid w:val="00833F9F"/>
    <w:rsid w:val="008340A7"/>
    <w:rsid w:val="0083448E"/>
    <w:rsid w:val="008362D5"/>
    <w:rsid w:val="00840675"/>
    <w:rsid w:val="00840AA8"/>
    <w:rsid w:val="0084130E"/>
    <w:rsid w:val="00843AB5"/>
    <w:rsid w:val="0084523A"/>
    <w:rsid w:val="00850AAF"/>
    <w:rsid w:val="00853B6D"/>
    <w:rsid w:val="00853C54"/>
    <w:rsid w:val="00853D34"/>
    <w:rsid w:val="00855B11"/>
    <w:rsid w:val="00856E83"/>
    <w:rsid w:val="008646A5"/>
    <w:rsid w:val="0087011F"/>
    <w:rsid w:val="00870B82"/>
    <w:rsid w:val="00870DAB"/>
    <w:rsid w:val="00872972"/>
    <w:rsid w:val="00872A5C"/>
    <w:rsid w:val="00873135"/>
    <w:rsid w:val="00880AE9"/>
    <w:rsid w:val="00883E3F"/>
    <w:rsid w:val="0089006E"/>
    <w:rsid w:val="00890B57"/>
    <w:rsid w:val="00892305"/>
    <w:rsid w:val="008931A1"/>
    <w:rsid w:val="00895DB4"/>
    <w:rsid w:val="008964E3"/>
    <w:rsid w:val="008A06EF"/>
    <w:rsid w:val="008A0B11"/>
    <w:rsid w:val="008A2AAD"/>
    <w:rsid w:val="008A2B8B"/>
    <w:rsid w:val="008A2E44"/>
    <w:rsid w:val="008A4E63"/>
    <w:rsid w:val="008A5469"/>
    <w:rsid w:val="008A6602"/>
    <w:rsid w:val="008B1AD1"/>
    <w:rsid w:val="008B23EC"/>
    <w:rsid w:val="008B60FB"/>
    <w:rsid w:val="008B67E6"/>
    <w:rsid w:val="008B741A"/>
    <w:rsid w:val="008C12A8"/>
    <w:rsid w:val="008C7DFA"/>
    <w:rsid w:val="008D173D"/>
    <w:rsid w:val="008D3D58"/>
    <w:rsid w:val="008D5959"/>
    <w:rsid w:val="008E2D76"/>
    <w:rsid w:val="008E60B7"/>
    <w:rsid w:val="008E686B"/>
    <w:rsid w:val="008E784A"/>
    <w:rsid w:val="008E78B4"/>
    <w:rsid w:val="008F4F9F"/>
    <w:rsid w:val="008F659A"/>
    <w:rsid w:val="00900A7C"/>
    <w:rsid w:val="00902F68"/>
    <w:rsid w:val="0090587D"/>
    <w:rsid w:val="00910504"/>
    <w:rsid w:val="00911FBF"/>
    <w:rsid w:val="00914A49"/>
    <w:rsid w:val="00917659"/>
    <w:rsid w:val="00917BE9"/>
    <w:rsid w:val="00917EB9"/>
    <w:rsid w:val="00921096"/>
    <w:rsid w:val="00922170"/>
    <w:rsid w:val="00923C92"/>
    <w:rsid w:val="009279E3"/>
    <w:rsid w:val="009322DA"/>
    <w:rsid w:val="00932B40"/>
    <w:rsid w:val="00934281"/>
    <w:rsid w:val="00936833"/>
    <w:rsid w:val="00936D08"/>
    <w:rsid w:val="00937AD1"/>
    <w:rsid w:val="00937AE6"/>
    <w:rsid w:val="00944940"/>
    <w:rsid w:val="00944B85"/>
    <w:rsid w:val="0094534F"/>
    <w:rsid w:val="0094563D"/>
    <w:rsid w:val="0094663D"/>
    <w:rsid w:val="00946B2C"/>
    <w:rsid w:val="00946EBF"/>
    <w:rsid w:val="00947DCB"/>
    <w:rsid w:val="00953E72"/>
    <w:rsid w:val="00956DEB"/>
    <w:rsid w:val="00956E56"/>
    <w:rsid w:val="00957055"/>
    <w:rsid w:val="009570AC"/>
    <w:rsid w:val="0096136C"/>
    <w:rsid w:val="009636B9"/>
    <w:rsid w:val="009636F1"/>
    <w:rsid w:val="00970D2D"/>
    <w:rsid w:val="00973A79"/>
    <w:rsid w:val="009744D8"/>
    <w:rsid w:val="00976917"/>
    <w:rsid w:val="009806AA"/>
    <w:rsid w:val="00980A8E"/>
    <w:rsid w:val="00983013"/>
    <w:rsid w:val="00983128"/>
    <w:rsid w:val="00983BDF"/>
    <w:rsid w:val="00985E6B"/>
    <w:rsid w:val="009869C6"/>
    <w:rsid w:val="0099077D"/>
    <w:rsid w:val="009939CE"/>
    <w:rsid w:val="00994B80"/>
    <w:rsid w:val="0099503F"/>
    <w:rsid w:val="0099562F"/>
    <w:rsid w:val="00995A38"/>
    <w:rsid w:val="00997279"/>
    <w:rsid w:val="009A118C"/>
    <w:rsid w:val="009B1A31"/>
    <w:rsid w:val="009B2BE4"/>
    <w:rsid w:val="009B72F6"/>
    <w:rsid w:val="009C2AEB"/>
    <w:rsid w:val="009C42F1"/>
    <w:rsid w:val="009D1132"/>
    <w:rsid w:val="009D1A50"/>
    <w:rsid w:val="009D2B63"/>
    <w:rsid w:val="009D6507"/>
    <w:rsid w:val="009D6F01"/>
    <w:rsid w:val="009D7193"/>
    <w:rsid w:val="009D7C20"/>
    <w:rsid w:val="009E2648"/>
    <w:rsid w:val="009E4806"/>
    <w:rsid w:val="009E6013"/>
    <w:rsid w:val="009E6402"/>
    <w:rsid w:val="009F097E"/>
    <w:rsid w:val="009F30AF"/>
    <w:rsid w:val="009F335D"/>
    <w:rsid w:val="009F3C18"/>
    <w:rsid w:val="009F42B2"/>
    <w:rsid w:val="009F5467"/>
    <w:rsid w:val="009F568E"/>
    <w:rsid w:val="009F6D75"/>
    <w:rsid w:val="00A016C2"/>
    <w:rsid w:val="00A01DBB"/>
    <w:rsid w:val="00A02B00"/>
    <w:rsid w:val="00A07E82"/>
    <w:rsid w:val="00A110D0"/>
    <w:rsid w:val="00A114CB"/>
    <w:rsid w:val="00A11983"/>
    <w:rsid w:val="00A13D2E"/>
    <w:rsid w:val="00A15161"/>
    <w:rsid w:val="00A2055E"/>
    <w:rsid w:val="00A23394"/>
    <w:rsid w:val="00A26509"/>
    <w:rsid w:val="00A26F2C"/>
    <w:rsid w:val="00A30856"/>
    <w:rsid w:val="00A30FD8"/>
    <w:rsid w:val="00A3146D"/>
    <w:rsid w:val="00A3221E"/>
    <w:rsid w:val="00A32512"/>
    <w:rsid w:val="00A33161"/>
    <w:rsid w:val="00A34769"/>
    <w:rsid w:val="00A34F61"/>
    <w:rsid w:val="00A374E7"/>
    <w:rsid w:val="00A40256"/>
    <w:rsid w:val="00A4032B"/>
    <w:rsid w:val="00A41210"/>
    <w:rsid w:val="00A435C4"/>
    <w:rsid w:val="00A443F5"/>
    <w:rsid w:val="00A5111A"/>
    <w:rsid w:val="00A518A4"/>
    <w:rsid w:val="00A51DAA"/>
    <w:rsid w:val="00A53FF7"/>
    <w:rsid w:val="00A57990"/>
    <w:rsid w:val="00A57B13"/>
    <w:rsid w:val="00A61196"/>
    <w:rsid w:val="00A7152B"/>
    <w:rsid w:val="00A7323E"/>
    <w:rsid w:val="00A73579"/>
    <w:rsid w:val="00A762F8"/>
    <w:rsid w:val="00A808A0"/>
    <w:rsid w:val="00A82199"/>
    <w:rsid w:val="00A828CF"/>
    <w:rsid w:val="00A8497A"/>
    <w:rsid w:val="00A90EA5"/>
    <w:rsid w:val="00A91BE4"/>
    <w:rsid w:val="00A934C0"/>
    <w:rsid w:val="00A93CC2"/>
    <w:rsid w:val="00A9420C"/>
    <w:rsid w:val="00A95728"/>
    <w:rsid w:val="00A96019"/>
    <w:rsid w:val="00A9760E"/>
    <w:rsid w:val="00AA0C88"/>
    <w:rsid w:val="00AA26DD"/>
    <w:rsid w:val="00AA2A56"/>
    <w:rsid w:val="00AA356F"/>
    <w:rsid w:val="00AA3EFA"/>
    <w:rsid w:val="00AA623F"/>
    <w:rsid w:val="00AA6D5C"/>
    <w:rsid w:val="00AA7CAE"/>
    <w:rsid w:val="00AB18F0"/>
    <w:rsid w:val="00AB2BB5"/>
    <w:rsid w:val="00AB5D4E"/>
    <w:rsid w:val="00AB7043"/>
    <w:rsid w:val="00AB7514"/>
    <w:rsid w:val="00AC1399"/>
    <w:rsid w:val="00AC34B8"/>
    <w:rsid w:val="00AC56F3"/>
    <w:rsid w:val="00AC7AD2"/>
    <w:rsid w:val="00AD07CE"/>
    <w:rsid w:val="00AD0C90"/>
    <w:rsid w:val="00AD0F9E"/>
    <w:rsid w:val="00AD1810"/>
    <w:rsid w:val="00AD297C"/>
    <w:rsid w:val="00AD7924"/>
    <w:rsid w:val="00AD7C9F"/>
    <w:rsid w:val="00AE0FFE"/>
    <w:rsid w:val="00AE3122"/>
    <w:rsid w:val="00AE4245"/>
    <w:rsid w:val="00AE44B9"/>
    <w:rsid w:val="00AF030B"/>
    <w:rsid w:val="00AF2867"/>
    <w:rsid w:val="00AF5404"/>
    <w:rsid w:val="00AF5895"/>
    <w:rsid w:val="00AF6779"/>
    <w:rsid w:val="00B00957"/>
    <w:rsid w:val="00B01AB6"/>
    <w:rsid w:val="00B02C83"/>
    <w:rsid w:val="00B06151"/>
    <w:rsid w:val="00B06769"/>
    <w:rsid w:val="00B1648E"/>
    <w:rsid w:val="00B17D3E"/>
    <w:rsid w:val="00B20E2B"/>
    <w:rsid w:val="00B225FE"/>
    <w:rsid w:val="00B226A9"/>
    <w:rsid w:val="00B245C3"/>
    <w:rsid w:val="00B26978"/>
    <w:rsid w:val="00B31377"/>
    <w:rsid w:val="00B34E54"/>
    <w:rsid w:val="00B35CD3"/>
    <w:rsid w:val="00B3782C"/>
    <w:rsid w:val="00B41F19"/>
    <w:rsid w:val="00B44498"/>
    <w:rsid w:val="00B44A92"/>
    <w:rsid w:val="00B47E5C"/>
    <w:rsid w:val="00B54DBB"/>
    <w:rsid w:val="00B55A63"/>
    <w:rsid w:val="00B55BF0"/>
    <w:rsid w:val="00B56E4D"/>
    <w:rsid w:val="00B57603"/>
    <w:rsid w:val="00B62328"/>
    <w:rsid w:val="00B62768"/>
    <w:rsid w:val="00B6368F"/>
    <w:rsid w:val="00B63951"/>
    <w:rsid w:val="00B63A81"/>
    <w:rsid w:val="00B645E8"/>
    <w:rsid w:val="00B64A6F"/>
    <w:rsid w:val="00B656EF"/>
    <w:rsid w:val="00B65F5B"/>
    <w:rsid w:val="00B67B1E"/>
    <w:rsid w:val="00B72279"/>
    <w:rsid w:val="00B725B4"/>
    <w:rsid w:val="00B73C6F"/>
    <w:rsid w:val="00B7438B"/>
    <w:rsid w:val="00B81647"/>
    <w:rsid w:val="00B82436"/>
    <w:rsid w:val="00B8266B"/>
    <w:rsid w:val="00B8493C"/>
    <w:rsid w:val="00B864DA"/>
    <w:rsid w:val="00B908E7"/>
    <w:rsid w:val="00B90B8B"/>
    <w:rsid w:val="00B91280"/>
    <w:rsid w:val="00B91C2F"/>
    <w:rsid w:val="00B951E9"/>
    <w:rsid w:val="00B95B4C"/>
    <w:rsid w:val="00B97101"/>
    <w:rsid w:val="00B9768D"/>
    <w:rsid w:val="00B97FA4"/>
    <w:rsid w:val="00BA60E6"/>
    <w:rsid w:val="00BB12EE"/>
    <w:rsid w:val="00BB1F9B"/>
    <w:rsid w:val="00BB3293"/>
    <w:rsid w:val="00BB3AFD"/>
    <w:rsid w:val="00BB40FD"/>
    <w:rsid w:val="00BB4E59"/>
    <w:rsid w:val="00BB74F9"/>
    <w:rsid w:val="00BB7F10"/>
    <w:rsid w:val="00BC0D54"/>
    <w:rsid w:val="00BC1DB0"/>
    <w:rsid w:val="00BC22D7"/>
    <w:rsid w:val="00BC46D0"/>
    <w:rsid w:val="00BC7B82"/>
    <w:rsid w:val="00BD0654"/>
    <w:rsid w:val="00BD2395"/>
    <w:rsid w:val="00BE1632"/>
    <w:rsid w:val="00BE1E9A"/>
    <w:rsid w:val="00BE5B16"/>
    <w:rsid w:val="00BE603D"/>
    <w:rsid w:val="00BE7B56"/>
    <w:rsid w:val="00BF11BD"/>
    <w:rsid w:val="00BF1A3F"/>
    <w:rsid w:val="00BF1F40"/>
    <w:rsid w:val="00C03D41"/>
    <w:rsid w:val="00C04B13"/>
    <w:rsid w:val="00C0548E"/>
    <w:rsid w:val="00C05980"/>
    <w:rsid w:val="00C07F0E"/>
    <w:rsid w:val="00C1184A"/>
    <w:rsid w:val="00C121DA"/>
    <w:rsid w:val="00C1270D"/>
    <w:rsid w:val="00C1413D"/>
    <w:rsid w:val="00C16129"/>
    <w:rsid w:val="00C220BF"/>
    <w:rsid w:val="00C230E9"/>
    <w:rsid w:val="00C24782"/>
    <w:rsid w:val="00C2498C"/>
    <w:rsid w:val="00C26CCB"/>
    <w:rsid w:val="00C27163"/>
    <w:rsid w:val="00C27CA2"/>
    <w:rsid w:val="00C30A25"/>
    <w:rsid w:val="00C30F1F"/>
    <w:rsid w:val="00C341C7"/>
    <w:rsid w:val="00C34EF1"/>
    <w:rsid w:val="00C356BC"/>
    <w:rsid w:val="00C3576A"/>
    <w:rsid w:val="00C37C72"/>
    <w:rsid w:val="00C42789"/>
    <w:rsid w:val="00C43638"/>
    <w:rsid w:val="00C46FC2"/>
    <w:rsid w:val="00C4703E"/>
    <w:rsid w:val="00C50945"/>
    <w:rsid w:val="00C53032"/>
    <w:rsid w:val="00C5383B"/>
    <w:rsid w:val="00C54575"/>
    <w:rsid w:val="00C55DEE"/>
    <w:rsid w:val="00C56414"/>
    <w:rsid w:val="00C60624"/>
    <w:rsid w:val="00C614EF"/>
    <w:rsid w:val="00C619D6"/>
    <w:rsid w:val="00C66981"/>
    <w:rsid w:val="00C67097"/>
    <w:rsid w:val="00C67956"/>
    <w:rsid w:val="00C70442"/>
    <w:rsid w:val="00C7115B"/>
    <w:rsid w:val="00C71809"/>
    <w:rsid w:val="00C72460"/>
    <w:rsid w:val="00C74113"/>
    <w:rsid w:val="00C7798A"/>
    <w:rsid w:val="00C80F30"/>
    <w:rsid w:val="00C81191"/>
    <w:rsid w:val="00C83C6C"/>
    <w:rsid w:val="00C8538E"/>
    <w:rsid w:val="00C90164"/>
    <w:rsid w:val="00C91952"/>
    <w:rsid w:val="00C927A7"/>
    <w:rsid w:val="00C93763"/>
    <w:rsid w:val="00C96F86"/>
    <w:rsid w:val="00CA0166"/>
    <w:rsid w:val="00CA0562"/>
    <w:rsid w:val="00CA4D2E"/>
    <w:rsid w:val="00CA62A9"/>
    <w:rsid w:val="00CB123E"/>
    <w:rsid w:val="00CB1B8F"/>
    <w:rsid w:val="00CB2234"/>
    <w:rsid w:val="00CB4791"/>
    <w:rsid w:val="00CC269C"/>
    <w:rsid w:val="00CC60F9"/>
    <w:rsid w:val="00CC6B75"/>
    <w:rsid w:val="00CD0005"/>
    <w:rsid w:val="00CD19D8"/>
    <w:rsid w:val="00CD2252"/>
    <w:rsid w:val="00CD3B61"/>
    <w:rsid w:val="00CD3E9E"/>
    <w:rsid w:val="00CD547E"/>
    <w:rsid w:val="00CD5520"/>
    <w:rsid w:val="00CE1CD1"/>
    <w:rsid w:val="00CE455F"/>
    <w:rsid w:val="00CE7670"/>
    <w:rsid w:val="00CF1BAF"/>
    <w:rsid w:val="00CF1BC6"/>
    <w:rsid w:val="00CF257C"/>
    <w:rsid w:val="00CF4001"/>
    <w:rsid w:val="00CF57B7"/>
    <w:rsid w:val="00CF7D12"/>
    <w:rsid w:val="00D01C88"/>
    <w:rsid w:val="00D04E9B"/>
    <w:rsid w:val="00D05D83"/>
    <w:rsid w:val="00D05EFE"/>
    <w:rsid w:val="00D07C1A"/>
    <w:rsid w:val="00D17F14"/>
    <w:rsid w:val="00D224B3"/>
    <w:rsid w:val="00D26D7D"/>
    <w:rsid w:val="00D30D4C"/>
    <w:rsid w:val="00D30F1C"/>
    <w:rsid w:val="00D361FA"/>
    <w:rsid w:val="00D362AB"/>
    <w:rsid w:val="00D36E22"/>
    <w:rsid w:val="00D3704A"/>
    <w:rsid w:val="00D37244"/>
    <w:rsid w:val="00D41F9C"/>
    <w:rsid w:val="00D434AB"/>
    <w:rsid w:val="00D44D87"/>
    <w:rsid w:val="00D456ED"/>
    <w:rsid w:val="00D46ECB"/>
    <w:rsid w:val="00D47E30"/>
    <w:rsid w:val="00D5062B"/>
    <w:rsid w:val="00D5076D"/>
    <w:rsid w:val="00D51FA0"/>
    <w:rsid w:val="00D52FEA"/>
    <w:rsid w:val="00D559AB"/>
    <w:rsid w:val="00D57243"/>
    <w:rsid w:val="00D578EC"/>
    <w:rsid w:val="00D622F7"/>
    <w:rsid w:val="00D64D9E"/>
    <w:rsid w:val="00D66E3D"/>
    <w:rsid w:val="00D67780"/>
    <w:rsid w:val="00D6785A"/>
    <w:rsid w:val="00D67D91"/>
    <w:rsid w:val="00D8229B"/>
    <w:rsid w:val="00D84AD3"/>
    <w:rsid w:val="00D873A1"/>
    <w:rsid w:val="00D87C4F"/>
    <w:rsid w:val="00D90D99"/>
    <w:rsid w:val="00D9212A"/>
    <w:rsid w:val="00D94D04"/>
    <w:rsid w:val="00DA2979"/>
    <w:rsid w:val="00DB0BD4"/>
    <w:rsid w:val="00DB13C6"/>
    <w:rsid w:val="00DB3A53"/>
    <w:rsid w:val="00DB5E11"/>
    <w:rsid w:val="00DB73FE"/>
    <w:rsid w:val="00DC1D3A"/>
    <w:rsid w:val="00DC4C2A"/>
    <w:rsid w:val="00DC555C"/>
    <w:rsid w:val="00DC6263"/>
    <w:rsid w:val="00DC62D9"/>
    <w:rsid w:val="00DD219D"/>
    <w:rsid w:val="00DD2AF0"/>
    <w:rsid w:val="00DD2F80"/>
    <w:rsid w:val="00DD6645"/>
    <w:rsid w:val="00DE218B"/>
    <w:rsid w:val="00DE2B90"/>
    <w:rsid w:val="00DE691A"/>
    <w:rsid w:val="00DF0789"/>
    <w:rsid w:val="00DF0915"/>
    <w:rsid w:val="00DF38C3"/>
    <w:rsid w:val="00DF3ACA"/>
    <w:rsid w:val="00DF3FEE"/>
    <w:rsid w:val="00DF4D77"/>
    <w:rsid w:val="00E135F6"/>
    <w:rsid w:val="00E14B83"/>
    <w:rsid w:val="00E15250"/>
    <w:rsid w:val="00E157F8"/>
    <w:rsid w:val="00E166D3"/>
    <w:rsid w:val="00E16D43"/>
    <w:rsid w:val="00E206AE"/>
    <w:rsid w:val="00E225D7"/>
    <w:rsid w:val="00E230C9"/>
    <w:rsid w:val="00E2361D"/>
    <w:rsid w:val="00E2435E"/>
    <w:rsid w:val="00E26D29"/>
    <w:rsid w:val="00E2766C"/>
    <w:rsid w:val="00E2795E"/>
    <w:rsid w:val="00E309BF"/>
    <w:rsid w:val="00E31B31"/>
    <w:rsid w:val="00E33D4E"/>
    <w:rsid w:val="00E3538A"/>
    <w:rsid w:val="00E41143"/>
    <w:rsid w:val="00E428A0"/>
    <w:rsid w:val="00E43138"/>
    <w:rsid w:val="00E474BC"/>
    <w:rsid w:val="00E61238"/>
    <w:rsid w:val="00E612E0"/>
    <w:rsid w:val="00E6471F"/>
    <w:rsid w:val="00E67360"/>
    <w:rsid w:val="00E713D1"/>
    <w:rsid w:val="00E71A37"/>
    <w:rsid w:val="00E75A7A"/>
    <w:rsid w:val="00E77149"/>
    <w:rsid w:val="00E85E7D"/>
    <w:rsid w:val="00E87C61"/>
    <w:rsid w:val="00E87F28"/>
    <w:rsid w:val="00E91588"/>
    <w:rsid w:val="00E926DB"/>
    <w:rsid w:val="00E93845"/>
    <w:rsid w:val="00E942A6"/>
    <w:rsid w:val="00E95630"/>
    <w:rsid w:val="00E95CC7"/>
    <w:rsid w:val="00E967A6"/>
    <w:rsid w:val="00EA03D8"/>
    <w:rsid w:val="00EA03E7"/>
    <w:rsid w:val="00EA582F"/>
    <w:rsid w:val="00EB1932"/>
    <w:rsid w:val="00EC2CCE"/>
    <w:rsid w:val="00EC596B"/>
    <w:rsid w:val="00EC73BD"/>
    <w:rsid w:val="00EC743C"/>
    <w:rsid w:val="00ED077A"/>
    <w:rsid w:val="00ED2652"/>
    <w:rsid w:val="00ED3262"/>
    <w:rsid w:val="00ED4090"/>
    <w:rsid w:val="00ED4A4B"/>
    <w:rsid w:val="00ED560B"/>
    <w:rsid w:val="00ED56F8"/>
    <w:rsid w:val="00ED6C9B"/>
    <w:rsid w:val="00ED6CE1"/>
    <w:rsid w:val="00ED6E65"/>
    <w:rsid w:val="00ED7801"/>
    <w:rsid w:val="00EE0111"/>
    <w:rsid w:val="00EE1B9C"/>
    <w:rsid w:val="00EE31F1"/>
    <w:rsid w:val="00EE622E"/>
    <w:rsid w:val="00EF0876"/>
    <w:rsid w:val="00EF09D4"/>
    <w:rsid w:val="00EF240C"/>
    <w:rsid w:val="00EF2C1F"/>
    <w:rsid w:val="00EF2CC1"/>
    <w:rsid w:val="00EF5C6C"/>
    <w:rsid w:val="00EF7A81"/>
    <w:rsid w:val="00F004BA"/>
    <w:rsid w:val="00F03C89"/>
    <w:rsid w:val="00F04B49"/>
    <w:rsid w:val="00F0633E"/>
    <w:rsid w:val="00F1099F"/>
    <w:rsid w:val="00F11D1B"/>
    <w:rsid w:val="00F122D0"/>
    <w:rsid w:val="00F12EF2"/>
    <w:rsid w:val="00F12F8C"/>
    <w:rsid w:val="00F131B5"/>
    <w:rsid w:val="00F1493D"/>
    <w:rsid w:val="00F15289"/>
    <w:rsid w:val="00F16CC9"/>
    <w:rsid w:val="00F258F7"/>
    <w:rsid w:val="00F26AF0"/>
    <w:rsid w:val="00F27E75"/>
    <w:rsid w:val="00F311EB"/>
    <w:rsid w:val="00F31F39"/>
    <w:rsid w:val="00F3215D"/>
    <w:rsid w:val="00F323FB"/>
    <w:rsid w:val="00F33046"/>
    <w:rsid w:val="00F339A6"/>
    <w:rsid w:val="00F34252"/>
    <w:rsid w:val="00F3638C"/>
    <w:rsid w:val="00F373A2"/>
    <w:rsid w:val="00F37F75"/>
    <w:rsid w:val="00F43C51"/>
    <w:rsid w:val="00F44483"/>
    <w:rsid w:val="00F51504"/>
    <w:rsid w:val="00F5178D"/>
    <w:rsid w:val="00F51CF4"/>
    <w:rsid w:val="00F529B6"/>
    <w:rsid w:val="00F57A29"/>
    <w:rsid w:val="00F62316"/>
    <w:rsid w:val="00F632FA"/>
    <w:rsid w:val="00F642BF"/>
    <w:rsid w:val="00F64A25"/>
    <w:rsid w:val="00F65801"/>
    <w:rsid w:val="00F66779"/>
    <w:rsid w:val="00F704D2"/>
    <w:rsid w:val="00F7081B"/>
    <w:rsid w:val="00F72D2F"/>
    <w:rsid w:val="00F738F8"/>
    <w:rsid w:val="00F74BC4"/>
    <w:rsid w:val="00F75B50"/>
    <w:rsid w:val="00F76896"/>
    <w:rsid w:val="00F81A0E"/>
    <w:rsid w:val="00F81E82"/>
    <w:rsid w:val="00F8242E"/>
    <w:rsid w:val="00F83781"/>
    <w:rsid w:val="00F84960"/>
    <w:rsid w:val="00F84E1F"/>
    <w:rsid w:val="00F859B3"/>
    <w:rsid w:val="00F85ACE"/>
    <w:rsid w:val="00F86849"/>
    <w:rsid w:val="00F90373"/>
    <w:rsid w:val="00F92E34"/>
    <w:rsid w:val="00F94FB8"/>
    <w:rsid w:val="00F95DE4"/>
    <w:rsid w:val="00F97023"/>
    <w:rsid w:val="00FA0368"/>
    <w:rsid w:val="00FA046E"/>
    <w:rsid w:val="00FA0D14"/>
    <w:rsid w:val="00FA0ECE"/>
    <w:rsid w:val="00FA4A3E"/>
    <w:rsid w:val="00FB0337"/>
    <w:rsid w:val="00FB1095"/>
    <w:rsid w:val="00FB1EA4"/>
    <w:rsid w:val="00FB3504"/>
    <w:rsid w:val="00FB5D9A"/>
    <w:rsid w:val="00FB6F7A"/>
    <w:rsid w:val="00FB6F99"/>
    <w:rsid w:val="00FC0CF1"/>
    <w:rsid w:val="00FC1813"/>
    <w:rsid w:val="00FC1882"/>
    <w:rsid w:val="00FD366A"/>
    <w:rsid w:val="00FD6DAB"/>
    <w:rsid w:val="00FE4A3A"/>
    <w:rsid w:val="00FF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282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3EF7"/>
    <w:rPr>
      <w:rFonts w:ascii="Times New Roman" w:hAnsi="Times New Roman"/>
      <w:sz w:val="24"/>
      <w:szCs w:val="24"/>
    </w:rPr>
  </w:style>
  <w:style w:type="paragraph" w:styleId="Nadpis1">
    <w:name w:val="heading 1"/>
    <w:basedOn w:val="Normln"/>
    <w:next w:val="Normln"/>
    <w:link w:val="Nadpis1Char"/>
    <w:uiPriority w:val="9"/>
    <w:qFormat/>
    <w:rsid w:val="003D0E90"/>
    <w:pPr>
      <w:keepNext/>
      <w:spacing w:before="240" w:after="60"/>
      <w:outlineLvl w:val="0"/>
    </w:pPr>
    <w:rPr>
      <w:rFonts w:ascii="Calibri Light" w:eastAsia="Malgun Gothic" w:hAnsi="Calibri Light"/>
      <w:b/>
      <w:bCs/>
      <w:kern w:val="32"/>
      <w:sz w:val="32"/>
      <w:szCs w:val="32"/>
      <w:lang w:val="en-GB" w:eastAsia="ko-KR"/>
    </w:rPr>
  </w:style>
  <w:style w:type="paragraph" w:styleId="Nadpis2">
    <w:name w:val="heading 2"/>
    <w:basedOn w:val="Normln"/>
    <w:next w:val="Normln"/>
    <w:link w:val="Nadpis2Char"/>
    <w:uiPriority w:val="9"/>
    <w:qFormat/>
    <w:rsid w:val="00052CA2"/>
    <w:pPr>
      <w:keepNext/>
      <w:spacing w:before="240" w:after="120"/>
      <w:outlineLvl w:val="1"/>
    </w:pPr>
    <w:rPr>
      <w:rFonts w:ascii="Cambria" w:eastAsia="Times New Roman" w:hAnsi="Cambria"/>
      <w:b/>
      <w:bCs/>
      <w:i/>
      <w:iCs/>
      <w:sz w:val="28"/>
      <w:szCs w:val="28"/>
      <w:lang w:val="en-GB"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052CA2"/>
    <w:pPr>
      <w:suppressAutoHyphens/>
    </w:pPr>
    <w:rPr>
      <w:rFonts w:eastAsia="SimSun" w:cs="Calibri"/>
      <w:sz w:val="20"/>
      <w:szCs w:val="20"/>
      <w:lang w:val="en-GB" w:eastAsia="zh-CN"/>
    </w:rPr>
  </w:style>
  <w:style w:type="character" w:customStyle="1" w:styleId="TextkomenteChar">
    <w:name w:val="Text komentáře Char"/>
    <w:link w:val="Textkomente"/>
    <w:uiPriority w:val="99"/>
    <w:rsid w:val="00052CA2"/>
    <w:rPr>
      <w:rFonts w:eastAsia="SimSun" w:cs="Calibri"/>
      <w:lang w:eastAsia="zh-CN"/>
    </w:rPr>
  </w:style>
  <w:style w:type="character" w:customStyle="1" w:styleId="Nadpis2Char">
    <w:name w:val="Nadpis 2 Char"/>
    <w:link w:val="Nadpis2"/>
    <w:uiPriority w:val="9"/>
    <w:rsid w:val="00052CA2"/>
    <w:rPr>
      <w:rFonts w:ascii="Cambria" w:eastAsia="Times New Roman" w:hAnsi="Cambria"/>
      <w:b/>
      <w:bCs/>
      <w:i/>
      <w:iCs/>
      <w:sz w:val="28"/>
      <w:szCs w:val="28"/>
      <w:lang w:eastAsia="zh-CN"/>
    </w:rPr>
  </w:style>
  <w:style w:type="character" w:customStyle="1" w:styleId="dn">
    <w:name w:val="Žádný"/>
    <w:autoRedefine/>
    <w:rsid w:val="00052CA2"/>
  </w:style>
  <w:style w:type="paragraph" w:customStyle="1" w:styleId="Default">
    <w:name w:val="Default"/>
    <w:rsid w:val="00052CA2"/>
    <w:pPr>
      <w:autoSpaceDE w:val="0"/>
      <w:autoSpaceDN w:val="0"/>
      <w:adjustRightInd w:val="0"/>
    </w:pPr>
    <w:rPr>
      <w:rFonts w:ascii="Times New Roman" w:hAnsi="Times New Roman"/>
      <w:color w:val="000000"/>
      <w:sz w:val="24"/>
      <w:szCs w:val="24"/>
      <w:lang w:val="cs-CZ"/>
    </w:rPr>
  </w:style>
  <w:style w:type="character" w:styleId="Hypertextovodkaz">
    <w:name w:val="Hyperlink"/>
    <w:uiPriority w:val="99"/>
    <w:rsid w:val="00ED6E65"/>
    <w:rPr>
      <w:rFonts w:cs="Times New Roman"/>
      <w:color w:val="0000FF"/>
      <w:u w:val="single"/>
    </w:rPr>
  </w:style>
  <w:style w:type="paragraph" w:customStyle="1" w:styleId="Text">
    <w:name w:val="Text"/>
    <w:basedOn w:val="Normln"/>
    <w:rsid w:val="00ED6E65"/>
    <w:rPr>
      <w:rFonts w:ascii="Arial" w:eastAsia="Times New Roman" w:hAnsi="Arial" w:cs="Arial"/>
      <w:lang w:val="en-GB" w:eastAsia="cs-CZ"/>
    </w:rPr>
  </w:style>
  <w:style w:type="paragraph" w:styleId="Odstavecseseznamem">
    <w:name w:val="List Paragraph"/>
    <w:basedOn w:val="Normln"/>
    <w:uiPriority w:val="34"/>
    <w:qFormat/>
    <w:rsid w:val="00ED6E65"/>
    <w:pPr>
      <w:ind w:left="720"/>
      <w:contextualSpacing/>
    </w:pPr>
    <w:rPr>
      <w:rFonts w:eastAsia="Times New Roman"/>
      <w:lang w:val="en-GB" w:eastAsia="cs-CZ"/>
    </w:rPr>
  </w:style>
  <w:style w:type="character" w:customStyle="1" w:styleId="TextpoznpodarouChar">
    <w:name w:val="Text pozn. pod čarou Char"/>
    <w:aliases w:val="single space Char,Fußnotentextf Char,Footnote text Char,Testo nota a piè di pagina_Rientro Char,Footnote Text Char Char Char Char Char1,Footnote Text Char Char Char,Footnote Text Char Char Char Char Char Char,stile 1 Char"/>
    <w:link w:val="Textpoznpodarou"/>
    <w:uiPriority w:val="99"/>
    <w:qFormat/>
    <w:rsid w:val="00412BC7"/>
    <w:rPr>
      <w:rFonts w:ascii="Times New Roman" w:eastAsia="Times New Roman" w:hAnsi="Times New Roman"/>
    </w:rPr>
  </w:style>
  <w:style w:type="character" w:styleId="Znakapoznpodarou">
    <w:name w:val="footnote reference"/>
    <w:aliases w:val="BVI fnr,Footnote symbol,Voetnootverwijzing,Times 10 Point,Exposant 3 Point,Footnote reference number,Ref,de nota al pie,note TESI,SUPERS,EN Footnote Reference,Footnote sign,Footnote Reference Superscript,stylish,fr,FR"/>
    <w:link w:val="FootnoteReferneceChar"/>
    <w:uiPriority w:val="99"/>
    <w:unhideWhenUsed/>
    <w:qFormat/>
    <w:rsid w:val="00412BC7"/>
    <w:rPr>
      <w:vertAlign w:val="superscript"/>
    </w:rPr>
  </w:style>
  <w:style w:type="paragraph" w:styleId="Textpoznpodarou">
    <w:name w:val="footnote text"/>
    <w:aliases w:val="single space,Fußnotentextf,Footnote text,Testo nota a piè di pagina_Rientro,Footnote Text Char Char Char Char,Footnote Text Char Char,Footnote Text Char Char Char Char Char,Footnote Text Char Char Ch,stile 1,Footnote Text Char1,fn"/>
    <w:basedOn w:val="Normln"/>
    <w:link w:val="TextpoznpodarouChar"/>
    <w:uiPriority w:val="99"/>
    <w:unhideWhenUsed/>
    <w:qFormat/>
    <w:rsid w:val="00412BC7"/>
    <w:rPr>
      <w:rFonts w:eastAsia="Times New Roman"/>
      <w:sz w:val="20"/>
      <w:szCs w:val="20"/>
      <w:lang w:val="en-GB" w:eastAsia="cs-CZ"/>
    </w:rPr>
  </w:style>
  <w:style w:type="character" w:customStyle="1" w:styleId="TextpoznpodarouChar1">
    <w:name w:val="Text pozn. pod čarou Char1"/>
    <w:uiPriority w:val="99"/>
    <w:semiHidden/>
    <w:rsid w:val="00412BC7"/>
    <w:rPr>
      <w:lang w:eastAsia="en-US"/>
    </w:rPr>
  </w:style>
  <w:style w:type="paragraph" w:styleId="Zkladntext">
    <w:name w:val="Body Text"/>
    <w:basedOn w:val="Normln"/>
    <w:link w:val="ZkladntextChar"/>
    <w:uiPriority w:val="99"/>
    <w:unhideWhenUsed/>
    <w:rsid w:val="00412BC7"/>
    <w:pPr>
      <w:spacing w:after="120"/>
    </w:pPr>
    <w:rPr>
      <w:rFonts w:eastAsia="Times New Roman"/>
      <w:lang w:val="en-GB" w:eastAsia="cs-CZ"/>
    </w:rPr>
  </w:style>
  <w:style w:type="character" w:customStyle="1" w:styleId="ZkladntextChar">
    <w:name w:val="Základní text Char"/>
    <w:link w:val="Zkladntext"/>
    <w:rsid w:val="00412BC7"/>
    <w:rPr>
      <w:rFonts w:ascii="Times New Roman" w:eastAsia="Times New Roman" w:hAnsi="Times New Roman"/>
      <w:sz w:val="24"/>
      <w:szCs w:val="24"/>
    </w:rPr>
  </w:style>
  <w:style w:type="paragraph" w:styleId="Zkladntextodsazen2">
    <w:name w:val="Body Text Indent 2"/>
    <w:basedOn w:val="Normln"/>
    <w:link w:val="Zkladntextodsazen2Char"/>
    <w:unhideWhenUsed/>
    <w:rsid w:val="00412BC7"/>
    <w:pPr>
      <w:spacing w:after="120" w:line="480" w:lineRule="auto"/>
      <w:ind w:left="283"/>
    </w:pPr>
    <w:rPr>
      <w:rFonts w:eastAsia="Times New Roman"/>
      <w:lang w:val="en-GB" w:eastAsia="cs-CZ"/>
    </w:rPr>
  </w:style>
  <w:style w:type="character" w:customStyle="1" w:styleId="Zkladntextodsazen2Char">
    <w:name w:val="Základní text odsazený 2 Char"/>
    <w:link w:val="Zkladntextodsazen2"/>
    <w:rsid w:val="00412BC7"/>
    <w:rPr>
      <w:rFonts w:ascii="Times New Roman" w:eastAsia="Times New Roman" w:hAnsi="Times New Roman"/>
      <w:sz w:val="24"/>
      <w:szCs w:val="24"/>
    </w:rPr>
  </w:style>
  <w:style w:type="paragraph" w:customStyle="1" w:styleId="Tlotextu">
    <w:name w:val="Tělo textu"/>
    <w:basedOn w:val="Normln"/>
    <w:rsid w:val="00D361FA"/>
    <w:pPr>
      <w:widowControl w:val="0"/>
      <w:suppressAutoHyphens/>
      <w:spacing w:after="140" w:line="288" w:lineRule="auto"/>
    </w:pPr>
    <w:rPr>
      <w:rFonts w:ascii="Liberation Serif" w:eastAsia="SimSun" w:hAnsi="Liberation Serif" w:cs="Arial"/>
      <w:lang w:val="en-GB" w:eastAsia="zh-CN" w:bidi="hi-IN"/>
    </w:rPr>
  </w:style>
  <w:style w:type="paragraph" w:customStyle="1" w:styleId="FootnoteReferneceChar">
    <w:name w:val="Footnote Refernece Char"/>
    <w:basedOn w:val="Normln"/>
    <w:link w:val="Znakapoznpodarou"/>
    <w:rsid w:val="00D361FA"/>
    <w:pPr>
      <w:suppressAutoHyphens/>
      <w:spacing w:after="160" w:line="240" w:lineRule="exact"/>
    </w:pPr>
    <w:rPr>
      <w:rFonts w:eastAsia="Times New Roman"/>
      <w:sz w:val="20"/>
      <w:szCs w:val="20"/>
      <w:vertAlign w:val="superscript"/>
      <w:lang w:val="en-GB" w:eastAsia="cs-CZ"/>
    </w:rPr>
  </w:style>
  <w:style w:type="table" w:styleId="Mkatabulky">
    <w:name w:val="Table Grid"/>
    <w:basedOn w:val="Normlntabulka"/>
    <w:uiPriority w:val="39"/>
    <w:rsid w:val="0078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A30FD8"/>
    <w:pPr>
      <w:tabs>
        <w:tab w:val="center" w:pos="4680"/>
        <w:tab w:val="right" w:pos="9360"/>
      </w:tabs>
    </w:pPr>
    <w:rPr>
      <w:rFonts w:eastAsia="Times New Roman"/>
      <w:lang w:val="en-GB" w:eastAsia="ko-KR"/>
    </w:rPr>
  </w:style>
  <w:style w:type="character" w:customStyle="1" w:styleId="ZpatChar">
    <w:name w:val="Zápatí Char"/>
    <w:link w:val="Zpat"/>
    <w:uiPriority w:val="99"/>
    <w:rsid w:val="00A30FD8"/>
    <w:rPr>
      <w:sz w:val="22"/>
      <w:szCs w:val="22"/>
      <w:lang w:val="cs-CZ" w:eastAsia="en-US"/>
    </w:rPr>
  </w:style>
  <w:style w:type="character" w:styleId="slostrnky">
    <w:name w:val="page number"/>
    <w:uiPriority w:val="99"/>
    <w:semiHidden/>
    <w:unhideWhenUsed/>
    <w:rsid w:val="00A30FD8"/>
  </w:style>
  <w:style w:type="paragraph" w:styleId="Normlnweb">
    <w:name w:val="Normal (Web)"/>
    <w:basedOn w:val="Normln"/>
    <w:uiPriority w:val="99"/>
    <w:unhideWhenUsed/>
    <w:rsid w:val="00A30FD8"/>
    <w:pPr>
      <w:spacing w:before="100" w:beforeAutospacing="1" w:after="100" w:afterAutospacing="1"/>
    </w:pPr>
    <w:rPr>
      <w:rFonts w:eastAsia="Times New Roman"/>
      <w:lang w:val="en-GB" w:eastAsia="ko-KR"/>
    </w:rPr>
  </w:style>
  <w:style w:type="character" w:styleId="Odkaznakoment">
    <w:name w:val="annotation reference"/>
    <w:uiPriority w:val="99"/>
    <w:semiHidden/>
    <w:unhideWhenUsed/>
    <w:rsid w:val="00EF240C"/>
    <w:rPr>
      <w:sz w:val="16"/>
      <w:szCs w:val="16"/>
    </w:rPr>
  </w:style>
  <w:style w:type="paragraph" w:styleId="Pedmtkomente">
    <w:name w:val="annotation subject"/>
    <w:basedOn w:val="Textkomente"/>
    <w:next w:val="Textkomente"/>
    <w:link w:val="PedmtkomenteChar"/>
    <w:uiPriority w:val="99"/>
    <w:semiHidden/>
    <w:unhideWhenUsed/>
    <w:rsid w:val="00EF240C"/>
    <w:pPr>
      <w:suppressAutoHyphens w:val="0"/>
    </w:pPr>
    <w:rPr>
      <w:rFonts w:eastAsia="Calibri" w:cs="Times New Roman"/>
      <w:b/>
      <w:bCs/>
      <w:lang w:eastAsia="en-US"/>
    </w:rPr>
  </w:style>
  <w:style w:type="character" w:customStyle="1" w:styleId="PedmtkomenteChar">
    <w:name w:val="Předmět komentáře Char"/>
    <w:link w:val="Pedmtkomente"/>
    <w:uiPriority w:val="99"/>
    <w:semiHidden/>
    <w:rsid w:val="00EF240C"/>
    <w:rPr>
      <w:rFonts w:eastAsia="SimSun" w:cs="Calibri"/>
      <w:b/>
      <w:bCs/>
      <w:lang w:val="cs-CZ" w:eastAsia="en-US"/>
    </w:rPr>
  </w:style>
  <w:style w:type="paragraph" w:styleId="Textbubliny">
    <w:name w:val="Balloon Text"/>
    <w:basedOn w:val="Normln"/>
    <w:link w:val="TextbublinyChar"/>
    <w:uiPriority w:val="99"/>
    <w:semiHidden/>
    <w:unhideWhenUsed/>
    <w:rsid w:val="00EF240C"/>
    <w:rPr>
      <w:rFonts w:eastAsia="Times New Roman"/>
      <w:sz w:val="18"/>
      <w:szCs w:val="18"/>
      <w:lang w:val="en-GB" w:eastAsia="ko-KR"/>
    </w:rPr>
  </w:style>
  <w:style w:type="character" w:customStyle="1" w:styleId="TextbublinyChar">
    <w:name w:val="Text bubliny Char"/>
    <w:link w:val="Textbubliny"/>
    <w:uiPriority w:val="99"/>
    <w:semiHidden/>
    <w:rsid w:val="00EF240C"/>
    <w:rPr>
      <w:rFonts w:ascii="Times New Roman" w:hAnsi="Times New Roman"/>
      <w:sz w:val="18"/>
      <w:szCs w:val="18"/>
      <w:lang w:val="cs-CZ" w:eastAsia="en-US"/>
    </w:rPr>
  </w:style>
  <w:style w:type="paragraph" w:styleId="Zhlav">
    <w:name w:val="header"/>
    <w:basedOn w:val="Normln"/>
    <w:link w:val="ZhlavChar"/>
    <w:uiPriority w:val="99"/>
    <w:unhideWhenUsed/>
    <w:rsid w:val="00AD7C9F"/>
    <w:pPr>
      <w:tabs>
        <w:tab w:val="center" w:pos="4680"/>
        <w:tab w:val="right" w:pos="9360"/>
      </w:tabs>
    </w:pPr>
    <w:rPr>
      <w:rFonts w:eastAsia="Times New Roman"/>
      <w:lang w:val="en-GB" w:eastAsia="ko-KR"/>
    </w:rPr>
  </w:style>
  <w:style w:type="character" w:customStyle="1" w:styleId="ZhlavChar">
    <w:name w:val="Záhlaví Char"/>
    <w:link w:val="Zhlav"/>
    <w:uiPriority w:val="99"/>
    <w:qFormat/>
    <w:rsid w:val="00AD7C9F"/>
    <w:rPr>
      <w:sz w:val="22"/>
      <w:szCs w:val="22"/>
      <w:lang w:val="cs-CZ" w:eastAsia="en-US"/>
    </w:rPr>
  </w:style>
  <w:style w:type="character" w:customStyle="1" w:styleId="Nadpis1Char">
    <w:name w:val="Nadpis 1 Char"/>
    <w:link w:val="Nadpis1"/>
    <w:uiPriority w:val="9"/>
    <w:rsid w:val="003D0E90"/>
    <w:rPr>
      <w:rFonts w:ascii="Calibri Light" w:eastAsia="Malgun Gothic" w:hAnsi="Calibri Light" w:cs="Times New Roman"/>
      <w:b/>
      <w:bCs/>
      <w:kern w:val="32"/>
      <w:sz w:val="32"/>
      <w:szCs w:val="32"/>
    </w:rPr>
  </w:style>
  <w:style w:type="paragraph" w:styleId="Nadpisobsahu">
    <w:name w:val="TOC Heading"/>
    <w:basedOn w:val="Nadpis1"/>
    <w:next w:val="Normln"/>
    <w:uiPriority w:val="39"/>
    <w:unhideWhenUsed/>
    <w:qFormat/>
    <w:rsid w:val="00B54DBB"/>
    <w:pPr>
      <w:keepLines/>
      <w:spacing w:before="480" w:after="0" w:line="276" w:lineRule="auto"/>
      <w:outlineLvl w:val="9"/>
    </w:pPr>
    <w:rPr>
      <w:color w:val="2F5496"/>
      <w:kern w:val="0"/>
      <w:sz w:val="28"/>
      <w:szCs w:val="28"/>
      <w:lang w:val="en-US" w:eastAsia="en-US"/>
    </w:rPr>
  </w:style>
  <w:style w:type="paragraph" w:styleId="Obsah1">
    <w:name w:val="toc 1"/>
    <w:basedOn w:val="Normln"/>
    <w:next w:val="Normln"/>
    <w:autoRedefine/>
    <w:uiPriority w:val="39"/>
    <w:unhideWhenUsed/>
    <w:rsid w:val="00B54DBB"/>
    <w:pPr>
      <w:spacing w:before="120"/>
    </w:pPr>
    <w:rPr>
      <w:rFonts w:ascii="Calibri" w:eastAsia="Times New Roman" w:hAnsi="Calibri"/>
      <w:b/>
      <w:bCs/>
      <w:i/>
      <w:iCs/>
      <w:lang w:val="en-GB" w:eastAsia="ko-KR"/>
    </w:rPr>
  </w:style>
  <w:style w:type="paragraph" w:styleId="Obsah2">
    <w:name w:val="toc 2"/>
    <w:basedOn w:val="Normln"/>
    <w:next w:val="Normln"/>
    <w:autoRedefine/>
    <w:uiPriority w:val="39"/>
    <w:unhideWhenUsed/>
    <w:rsid w:val="00B54DBB"/>
    <w:pPr>
      <w:spacing w:before="120"/>
      <w:ind w:left="240"/>
    </w:pPr>
    <w:rPr>
      <w:rFonts w:ascii="Calibri" w:eastAsia="Times New Roman" w:hAnsi="Calibri"/>
      <w:b/>
      <w:bCs/>
      <w:sz w:val="22"/>
      <w:szCs w:val="22"/>
      <w:lang w:val="en-GB" w:eastAsia="ko-KR"/>
    </w:rPr>
  </w:style>
  <w:style w:type="paragraph" w:styleId="Obsah3">
    <w:name w:val="toc 3"/>
    <w:basedOn w:val="Normln"/>
    <w:next w:val="Normln"/>
    <w:autoRedefine/>
    <w:uiPriority w:val="39"/>
    <w:semiHidden/>
    <w:unhideWhenUsed/>
    <w:rsid w:val="00B54DBB"/>
    <w:pPr>
      <w:ind w:left="480"/>
    </w:pPr>
    <w:rPr>
      <w:rFonts w:ascii="Calibri" w:hAnsi="Calibri"/>
      <w:sz w:val="20"/>
      <w:szCs w:val="20"/>
    </w:rPr>
  </w:style>
  <w:style w:type="paragraph" w:styleId="Obsah4">
    <w:name w:val="toc 4"/>
    <w:basedOn w:val="Normln"/>
    <w:next w:val="Normln"/>
    <w:autoRedefine/>
    <w:uiPriority w:val="39"/>
    <w:semiHidden/>
    <w:unhideWhenUsed/>
    <w:rsid w:val="00B54DBB"/>
    <w:pPr>
      <w:ind w:left="720"/>
    </w:pPr>
    <w:rPr>
      <w:rFonts w:ascii="Calibri" w:hAnsi="Calibri"/>
      <w:sz w:val="20"/>
      <w:szCs w:val="20"/>
    </w:rPr>
  </w:style>
  <w:style w:type="paragraph" w:styleId="Obsah5">
    <w:name w:val="toc 5"/>
    <w:basedOn w:val="Normln"/>
    <w:next w:val="Normln"/>
    <w:autoRedefine/>
    <w:uiPriority w:val="39"/>
    <w:semiHidden/>
    <w:unhideWhenUsed/>
    <w:rsid w:val="00B54DBB"/>
    <w:pPr>
      <w:ind w:left="960"/>
    </w:pPr>
    <w:rPr>
      <w:rFonts w:ascii="Calibri" w:hAnsi="Calibri"/>
      <w:sz w:val="20"/>
      <w:szCs w:val="20"/>
    </w:rPr>
  </w:style>
  <w:style w:type="paragraph" w:styleId="Obsah6">
    <w:name w:val="toc 6"/>
    <w:basedOn w:val="Normln"/>
    <w:next w:val="Normln"/>
    <w:autoRedefine/>
    <w:uiPriority w:val="39"/>
    <w:semiHidden/>
    <w:unhideWhenUsed/>
    <w:rsid w:val="00B54DBB"/>
    <w:pPr>
      <w:ind w:left="1200"/>
    </w:pPr>
    <w:rPr>
      <w:rFonts w:ascii="Calibri" w:hAnsi="Calibri"/>
      <w:sz w:val="20"/>
      <w:szCs w:val="20"/>
    </w:rPr>
  </w:style>
  <w:style w:type="paragraph" w:styleId="Obsah7">
    <w:name w:val="toc 7"/>
    <w:basedOn w:val="Normln"/>
    <w:next w:val="Normln"/>
    <w:autoRedefine/>
    <w:uiPriority w:val="39"/>
    <w:semiHidden/>
    <w:unhideWhenUsed/>
    <w:rsid w:val="00B54DBB"/>
    <w:pPr>
      <w:ind w:left="1440"/>
    </w:pPr>
    <w:rPr>
      <w:rFonts w:ascii="Calibri" w:hAnsi="Calibri"/>
      <w:sz w:val="20"/>
      <w:szCs w:val="20"/>
    </w:rPr>
  </w:style>
  <w:style w:type="paragraph" w:styleId="Obsah8">
    <w:name w:val="toc 8"/>
    <w:basedOn w:val="Normln"/>
    <w:next w:val="Normln"/>
    <w:autoRedefine/>
    <w:uiPriority w:val="39"/>
    <w:semiHidden/>
    <w:unhideWhenUsed/>
    <w:rsid w:val="00B54DBB"/>
    <w:pPr>
      <w:ind w:left="1680"/>
    </w:pPr>
    <w:rPr>
      <w:rFonts w:ascii="Calibri" w:hAnsi="Calibri"/>
      <w:sz w:val="20"/>
      <w:szCs w:val="20"/>
    </w:rPr>
  </w:style>
  <w:style w:type="paragraph" w:styleId="Obsah9">
    <w:name w:val="toc 9"/>
    <w:basedOn w:val="Normln"/>
    <w:next w:val="Normln"/>
    <w:autoRedefine/>
    <w:uiPriority w:val="39"/>
    <w:semiHidden/>
    <w:unhideWhenUsed/>
    <w:rsid w:val="00B54DBB"/>
    <w:pPr>
      <w:ind w:left="1920"/>
    </w:pPr>
    <w:rPr>
      <w:rFonts w:ascii="Calibri" w:hAnsi="Calibri"/>
      <w:sz w:val="20"/>
      <w:szCs w:val="20"/>
    </w:rPr>
  </w:style>
  <w:style w:type="paragraph" w:styleId="Nzev">
    <w:name w:val="Title"/>
    <w:basedOn w:val="Normln"/>
    <w:next w:val="Normln"/>
    <w:link w:val="NzevChar"/>
    <w:uiPriority w:val="10"/>
    <w:qFormat/>
    <w:rsid w:val="005A680A"/>
    <w:pPr>
      <w:spacing w:before="240" w:after="60"/>
      <w:jc w:val="center"/>
      <w:outlineLvl w:val="0"/>
    </w:pPr>
    <w:rPr>
      <w:rFonts w:ascii="Calibri Light" w:eastAsia="Malgun Gothic" w:hAnsi="Calibri Light"/>
      <w:b/>
      <w:bCs/>
      <w:kern w:val="28"/>
      <w:sz w:val="32"/>
      <w:szCs w:val="32"/>
      <w:lang w:val="en-GB" w:eastAsia="ko-KR"/>
    </w:rPr>
  </w:style>
  <w:style w:type="character" w:customStyle="1" w:styleId="NzevChar">
    <w:name w:val="Název Char"/>
    <w:link w:val="Nzev"/>
    <w:uiPriority w:val="10"/>
    <w:rsid w:val="005A680A"/>
    <w:rPr>
      <w:rFonts w:ascii="Calibri Light" w:eastAsia="Malgun Gothic" w:hAnsi="Calibri Light" w:cs="Times New Roman"/>
      <w:b/>
      <w:bCs/>
      <w:kern w:val="28"/>
      <w:sz w:val="32"/>
      <w:szCs w:val="32"/>
    </w:rPr>
  </w:style>
  <w:style w:type="character" w:customStyle="1" w:styleId="Nevyeenzmnka1">
    <w:name w:val="Nevyřešená zmínka1"/>
    <w:uiPriority w:val="99"/>
    <w:semiHidden/>
    <w:unhideWhenUsed/>
    <w:rsid w:val="009F097E"/>
    <w:rPr>
      <w:color w:val="605E5C"/>
      <w:shd w:val="clear" w:color="auto" w:fill="E1DFDD"/>
    </w:rPr>
  </w:style>
  <w:style w:type="paragraph" w:customStyle="1" w:styleId="Odstavecseseznamem1">
    <w:name w:val="Odstavec se seznamem1"/>
    <w:basedOn w:val="Normln"/>
    <w:uiPriority w:val="34"/>
    <w:qFormat/>
    <w:rsid w:val="006A7D99"/>
    <w:pPr>
      <w:spacing w:after="200" w:line="276" w:lineRule="auto"/>
      <w:ind w:left="720"/>
      <w:contextualSpacing/>
    </w:pPr>
    <w:rPr>
      <w:rFonts w:ascii="Calibri" w:hAnsi="Calibri"/>
      <w:sz w:val="22"/>
      <w:szCs w:val="22"/>
      <w:lang w:val="cs-CZ"/>
    </w:rPr>
  </w:style>
  <w:style w:type="paragraph" w:styleId="Revize">
    <w:name w:val="Revision"/>
    <w:hidden/>
    <w:uiPriority w:val="99"/>
    <w:semiHidden/>
    <w:rsid w:val="00B56E4D"/>
    <w:rPr>
      <w:rFonts w:ascii="Times New Roman" w:eastAsia="Times New Roman" w:hAnsi="Times New Roman"/>
      <w:sz w:val="24"/>
      <w:szCs w:val="24"/>
      <w:lang w:val="en-GB" w:eastAsia="ko-KR"/>
    </w:rPr>
  </w:style>
  <w:style w:type="paragraph" w:styleId="Bezmezer">
    <w:name w:val="No Spacing"/>
    <w:link w:val="BezmezerChar"/>
    <w:uiPriority w:val="1"/>
    <w:qFormat/>
    <w:rsid w:val="00120E5C"/>
    <w:rPr>
      <w:rFonts w:eastAsia="Times New Roman"/>
      <w:sz w:val="22"/>
      <w:szCs w:val="22"/>
      <w:lang w:val="cs-CZ" w:eastAsia="cs-CZ"/>
    </w:rPr>
  </w:style>
  <w:style w:type="character" w:customStyle="1" w:styleId="BezmezerChar">
    <w:name w:val="Bez mezer Char"/>
    <w:link w:val="Bezmezer"/>
    <w:uiPriority w:val="1"/>
    <w:rsid w:val="00120E5C"/>
    <w:rPr>
      <w:rFonts w:eastAsia="Times New Roman"/>
      <w:sz w:val="22"/>
      <w:szCs w:val="22"/>
    </w:rPr>
  </w:style>
  <w:style w:type="character" w:customStyle="1" w:styleId="apple-converted-space">
    <w:name w:val="apple-converted-space"/>
    <w:basedOn w:val="Standardnpsmoodstavce"/>
    <w:rsid w:val="00F94FB8"/>
  </w:style>
  <w:style w:type="character" w:styleId="Zvraznn">
    <w:name w:val="Emphasis"/>
    <w:basedOn w:val="Standardnpsmoodstavce"/>
    <w:uiPriority w:val="20"/>
    <w:qFormat/>
    <w:rsid w:val="00B55BF0"/>
    <w:rPr>
      <w:i/>
      <w:iCs/>
    </w:rPr>
  </w:style>
  <w:style w:type="paragraph" w:styleId="Zkladntextodsazen">
    <w:name w:val="Body Text Indent"/>
    <w:basedOn w:val="Normln"/>
    <w:link w:val="ZkladntextodsazenChar"/>
    <w:rsid w:val="00747E67"/>
    <w:pPr>
      <w:spacing w:after="120"/>
      <w:ind w:left="283"/>
    </w:pPr>
    <w:rPr>
      <w:rFonts w:eastAsia="Times New Roman"/>
      <w:lang w:val="cs-CZ" w:eastAsia="cs-CZ"/>
    </w:rPr>
  </w:style>
  <w:style w:type="character" w:customStyle="1" w:styleId="ZkladntextodsazenChar">
    <w:name w:val="Základní text odsazený Char"/>
    <w:basedOn w:val="Standardnpsmoodstavce"/>
    <w:link w:val="Zkladntextodsazen"/>
    <w:rsid w:val="00747E67"/>
    <w:rPr>
      <w:rFonts w:ascii="Times New Roman" w:eastAsia="Times New Roman" w:hAnsi="Times New Roman"/>
      <w:sz w:val="24"/>
      <w:szCs w:val="24"/>
      <w:lang w:val="cs-CZ" w:eastAsia="cs-CZ"/>
    </w:rPr>
  </w:style>
  <w:style w:type="character" w:styleId="Siln">
    <w:name w:val="Strong"/>
    <w:uiPriority w:val="22"/>
    <w:qFormat/>
    <w:rsid w:val="00385B92"/>
    <w:rPr>
      <w:b/>
      <w:bCs/>
    </w:rPr>
  </w:style>
  <w:style w:type="paragraph" w:styleId="Titulek">
    <w:name w:val="caption"/>
    <w:basedOn w:val="Normln"/>
    <w:next w:val="Normln"/>
    <w:uiPriority w:val="35"/>
    <w:unhideWhenUsed/>
    <w:qFormat/>
    <w:rsid w:val="00796BE5"/>
    <w:pPr>
      <w:spacing w:after="200"/>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3EF7"/>
    <w:rPr>
      <w:rFonts w:ascii="Times New Roman" w:hAnsi="Times New Roman"/>
      <w:sz w:val="24"/>
      <w:szCs w:val="24"/>
    </w:rPr>
  </w:style>
  <w:style w:type="paragraph" w:styleId="Nadpis1">
    <w:name w:val="heading 1"/>
    <w:basedOn w:val="Normln"/>
    <w:next w:val="Normln"/>
    <w:link w:val="Nadpis1Char"/>
    <w:uiPriority w:val="9"/>
    <w:qFormat/>
    <w:rsid w:val="003D0E90"/>
    <w:pPr>
      <w:keepNext/>
      <w:spacing w:before="240" w:after="60"/>
      <w:outlineLvl w:val="0"/>
    </w:pPr>
    <w:rPr>
      <w:rFonts w:ascii="Calibri Light" w:eastAsia="Malgun Gothic" w:hAnsi="Calibri Light"/>
      <w:b/>
      <w:bCs/>
      <w:kern w:val="32"/>
      <w:sz w:val="32"/>
      <w:szCs w:val="32"/>
      <w:lang w:val="en-GB" w:eastAsia="ko-KR"/>
    </w:rPr>
  </w:style>
  <w:style w:type="paragraph" w:styleId="Nadpis2">
    <w:name w:val="heading 2"/>
    <w:basedOn w:val="Normln"/>
    <w:next w:val="Normln"/>
    <w:link w:val="Nadpis2Char"/>
    <w:uiPriority w:val="9"/>
    <w:qFormat/>
    <w:rsid w:val="00052CA2"/>
    <w:pPr>
      <w:keepNext/>
      <w:spacing w:before="240" w:after="120"/>
      <w:outlineLvl w:val="1"/>
    </w:pPr>
    <w:rPr>
      <w:rFonts w:ascii="Cambria" w:eastAsia="Times New Roman" w:hAnsi="Cambria"/>
      <w:b/>
      <w:bCs/>
      <w:i/>
      <w:iCs/>
      <w:sz w:val="28"/>
      <w:szCs w:val="28"/>
      <w:lang w:val="en-GB"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052CA2"/>
    <w:pPr>
      <w:suppressAutoHyphens/>
    </w:pPr>
    <w:rPr>
      <w:rFonts w:eastAsia="SimSun" w:cs="Calibri"/>
      <w:sz w:val="20"/>
      <w:szCs w:val="20"/>
      <w:lang w:val="en-GB" w:eastAsia="zh-CN"/>
    </w:rPr>
  </w:style>
  <w:style w:type="character" w:customStyle="1" w:styleId="TextkomenteChar">
    <w:name w:val="Text komentáře Char"/>
    <w:link w:val="Textkomente"/>
    <w:uiPriority w:val="99"/>
    <w:rsid w:val="00052CA2"/>
    <w:rPr>
      <w:rFonts w:eastAsia="SimSun" w:cs="Calibri"/>
      <w:lang w:eastAsia="zh-CN"/>
    </w:rPr>
  </w:style>
  <w:style w:type="character" w:customStyle="1" w:styleId="Nadpis2Char">
    <w:name w:val="Nadpis 2 Char"/>
    <w:link w:val="Nadpis2"/>
    <w:uiPriority w:val="9"/>
    <w:rsid w:val="00052CA2"/>
    <w:rPr>
      <w:rFonts w:ascii="Cambria" w:eastAsia="Times New Roman" w:hAnsi="Cambria"/>
      <w:b/>
      <w:bCs/>
      <w:i/>
      <w:iCs/>
      <w:sz w:val="28"/>
      <w:szCs w:val="28"/>
      <w:lang w:eastAsia="zh-CN"/>
    </w:rPr>
  </w:style>
  <w:style w:type="character" w:customStyle="1" w:styleId="dn">
    <w:name w:val="Žádný"/>
    <w:autoRedefine/>
    <w:rsid w:val="00052CA2"/>
  </w:style>
  <w:style w:type="paragraph" w:customStyle="1" w:styleId="Default">
    <w:name w:val="Default"/>
    <w:rsid w:val="00052CA2"/>
    <w:pPr>
      <w:autoSpaceDE w:val="0"/>
      <w:autoSpaceDN w:val="0"/>
      <w:adjustRightInd w:val="0"/>
    </w:pPr>
    <w:rPr>
      <w:rFonts w:ascii="Times New Roman" w:hAnsi="Times New Roman"/>
      <w:color w:val="000000"/>
      <w:sz w:val="24"/>
      <w:szCs w:val="24"/>
      <w:lang w:val="cs-CZ"/>
    </w:rPr>
  </w:style>
  <w:style w:type="character" w:styleId="Hypertextovodkaz">
    <w:name w:val="Hyperlink"/>
    <w:uiPriority w:val="99"/>
    <w:rsid w:val="00ED6E65"/>
    <w:rPr>
      <w:rFonts w:cs="Times New Roman"/>
      <w:color w:val="0000FF"/>
      <w:u w:val="single"/>
    </w:rPr>
  </w:style>
  <w:style w:type="paragraph" w:customStyle="1" w:styleId="Text">
    <w:name w:val="Text"/>
    <w:basedOn w:val="Normln"/>
    <w:rsid w:val="00ED6E65"/>
    <w:rPr>
      <w:rFonts w:ascii="Arial" w:eastAsia="Times New Roman" w:hAnsi="Arial" w:cs="Arial"/>
      <w:lang w:val="en-GB" w:eastAsia="cs-CZ"/>
    </w:rPr>
  </w:style>
  <w:style w:type="paragraph" w:styleId="Odstavecseseznamem">
    <w:name w:val="List Paragraph"/>
    <w:basedOn w:val="Normln"/>
    <w:uiPriority w:val="34"/>
    <w:qFormat/>
    <w:rsid w:val="00ED6E65"/>
    <w:pPr>
      <w:ind w:left="720"/>
      <w:contextualSpacing/>
    </w:pPr>
    <w:rPr>
      <w:rFonts w:eastAsia="Times New Roman"/>
      <w:lang w:val="en-GB" w:eastAsia="cs-CZ"/>
    </w:rPr>
  </w:style>
  <w:style w:type="character" w:customStyle="1" w:styleId="TextpoznpodarouChar">
    <w:name w:val="Text pozn. pod čarou Char"/>
    <w:aliases w:val="single space Char,Fußnotentextf Char,Footnote text Char,Testo nota a piè di pagina_Rientro Char,Footnote Text Char Char Char Char Char1,Footnote Text Char Char Char,Footnote Text Char Char Char Char Char Char,stile 1 Char"/>
    <w:link w:val="Textpoznpodarou"/>
    <w:uiPriority w:val="99"/>
    <w:qFormat/>
    <w:rsid w:val="00412BC7"/>
    <w:rPr>
      <w:rFonts w:ascii="Times New Roman" w:eastAsia="Times New Roman" w:hAnsi="Times New Roman"/>
    </w:rPr>
  </w:style>
  <w:style w:type="character" w:styleId="Znakapoznpodarou">
    <w:name w:val="footnote reference"/>
    <w:aliases w:val="BVI fnr,Footnote symbol,Voetnootverwijzing,Times 10 Point,Exposant 3 Point,Footnote reference number,Ref,de nota al pie,note TESI,SUPERS,EN Footnote Reference,Footnote sign,Footnote Reference Superscript,stylish,fr,FR"/>
    <w:link w:val="FootnoteReferneceChar"/>
    <w:uiPriority w:val="99"/>
    <w:unhideWhenUsed/>
    <w:qFormat/>
    <w:rsid w:val="00412BC7"/>
    <w:rPr>
      <w:vertAlign w:val="superscript"/>
    </w:rPr>
  </w:style>
  <w:style w:type="paragraph" w:styleId="Textpoznpodarou">
    <w:name w:val="footnote text"/>
    <w:aliases w:val="single space,Fußnotentextf,Footnote text,Testo nota a piè di pagina_Rientro,Footnote Text Char Char Char Char,Footnote Text Char Char,Footnote Text Char Char Char Char Char,Footnote Text Char Char Ch,stile 1,Footnote Text Char1,fn"/>
    <w:basedOn w:val="Normln"/>
    <w:link w:val="TextpoznpodarouChar"/>
    <w:uiPriority w:val="99"/>
    <w:unhideWhenUsed/>
    <w:qFormat/>
    <w:rsid w:val="00412BC7"/>
    <w:rPr>
      <w:rFonts w:eastAsia="Times New Roman"/>
      <w:sz w:val="20"/>
      <w:szCs w:val="20"/>
      <w:lang w:val="en-GB" w:eastAsia="cs-CZ"/>
    </w:rPr>
  </w:style>
  <w:style w:type="character" w:customStyle="1" w:styleId="TextpoznpodarouChar1">
    <w:name w:val="Text pozn. pod čarou Char1"/>
    <w:uiPriority w:val="99"/>
    <w:semiHidden/>
    <w:rsid w:val="00412BC7"/>
    <w:rPr>
      <w:lang w:eastAsia="en-US"/>
    </w:rPr>
  </w:style>
  <w:style w:type="paragraph" w:styleId="Zkladntext">
    <w:name w:val="Body Text"/>
    <w:basedOn w:val="Normln"/>
    <w:link w:val="ZkladntextChar"/>
    <w:uiPriority w:val="99"/>
    <w:unhideWhenUsed/>
    <w:rsid w:val="00412BC7"/>
    <w:pPr>
      <w:spacing w:after="120"/>
    </w:pPr>
    <w:rPr>
      <w:rFonts w:eastAsia="Times New Roman"/>
      <w:lang w:val="en-GB" w:eastAsia="cs-CZ"/>
    </w:rPr>
  </w:style>
  <w:style w:type="character" w:customStyle="1" w:styleId="ZkladntextChar">
    <w:name w:val="Základní text Char"/>
    <w:link w:val="Zkladntext"/>
    <w:rsid w:val="00412BC7"/>
    <w:rPr>
      <w:rFonts w:ascii="Times New Roman" w:eastAsia="Times New Roman" w:hAnsi="Times New Roman"/>
      <w:sz w:val="24"/>
      <w:szCs w:val="24"/>
    </w:rPr>
  </w:style>
  <w:style w:type="paragraph" w:styleId="Zkladntextodsazen2">
    <w:name w:val="Body Text Indent 2"/>
    <w:basedOn w:val="Normln"/>
    <w:link w:val="Zkladntextodsazen2Char"/>
    <w:unhideWhenUsed/>
    <w:rsid w:val="00412BC7"/>
    <w:pPr>
      <w:spacing w:after="120" w:line="480" w:lineRule="auto"/>
      <w:ind w:left="283"/>
    </w:pPr>
    <w:rPr>
      <w:rFonts w:eastAsia="Times New Roman"/>
      <w:lang w:val="en-GB" w:eastAsia="cs-CZ"/>
    </w:rPr>
  </w:style>
  <w:style w:type="character" w:customStyle="1" w:styleId="Zkladntextodsazen2Char">
    <w:name w:val="Základní text odsazený 2 Char"/>
    <w:link w:val="Zkladntextodsazen2"/>
    <w:rsid w:val="00412BC7"/>
    <w:rPr>
      <w:rFonts w:ascii="Times New Roman" w:eastAsia="Times New Roman" w:hAnsi="Times New Roman"/>
      <w:sz w:val="24"/>
      <w:szCs w:val="24"/>
    </w:rPr>
  </w:style>
  <w:style w:type="paragraph" w:customStyle="1" w:styleId="Tlotextu">
    <w:name w:val="Tělo textu"/>
    <w:basedOn w:val="Normln"/>
    <w:rsid w:val="00D361FA"/>
    <w:pPr>
      <w:widowControl w:val="0"/>
      <w:suppressAutoHyphens/>
      <w:spacing w:after="140" w:line="288" w:lineRule="auto"/>
    </w:pPr>
    <w:rPr>
      <w:rFonts w:ascii="Liberation Serif" w:eastAsia="SimSun" w:hAnsi="Liberation Serif" w:cs="Arial"/>
      <w:lang w:val="en-GB" w:eastAsia="zh-CN" w:bidi="hi-IN"/>
    </w:rPr>
  </w:style>
  <w:style w:type="paragraph" w:customStyle="1" w:styleId="FootnoteReferneceChar">
    <w:name w:val="Footnote Refernece Char"/>
    <w:basedOn w:val="Normln"/>
    <w:link w:val="Znakapoznpodarou"/>
    <w:rsid w:val="00D361FA"/>
    <w:pPr>
      <w:suppressAutoHyphens/>
      <w:spacing w:after="160" w:line="240" w:lineRule="exact"/>
    </w:pPr>
    <w:rPr>
      <w:rFonts w:eastAsia="Times New Roman"/>
      <w:sz w:val="20"/>
      <w:szCs w:val="20"/>
      <w:vertAlign w:val="superscript"/>
      <w:lang w:val="en-GB" w:eastAsia="cs-CZ"/>
    </w:rPr>
  </w:style>
  <w:style w:type="table" w:styleId="Mkatabulky">
    <w:name w:val="Table Grid"/>
    <w:basedOn w:val="Normlntabulka"/>
    <w:uiPriority w:val="39"/>
    <w:rsid w:val="0078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A30FD8"/>
    <w:pPr>
      <w:tabs>
        <w:tab w:val="center" w:pos="4680"/>
        <w:tab w:val="right" w:pos="9360"/>
      </w:tabs>
    </w:pPr>
    <w:rPr>
      <w:rFonts w:eastAsia="Times New Roman"/>
      <w:lang w:val="en-GB" w:eastAsia="ko-KR"/>
    </w:rPr>
  </w:style>
  <w:style w:type="character" w:customStyle="1" w:styleId="ZpatChar">
    <w:name w:val="Zápatí Char"/>
    <w:link w:val="Zpat"/>
    <w:uiPriority w:val="99"/>
    <w:rsid w:val="00A30FD8"/>
    <w:rPr>
      <w:sz w:val="22"/>
      <w:szCs w:val="22"/>
      <w:lang w:val="cs-CZ" w:eastAsia="en-US"/>
    </w:rPr>
  </w:style>
  <w:style w:type="character" w:styleId="slostrnky">
    <w:name w:val="page number"/>
    <w:uiPriority w:val="99"/>
    <w:semiHidden/>
    <w:unhideWhenUsed/>
    <w:rsid w:val="00A30FD8"/>
  </w:style>
  <w:style w:type="paragraph" w:styleId="Normlnweb">
    <w:name w:val="Normal (Web)"/>
    <w:basedOn w:val="Normln"/>
    <w:uiPriority w:val="99"/>
    <w:unhideWhenUsed/>
    <w:rsid w:val="00A30FD8"/>
    <w:pPr>
      <w:spacing w:before="100" w:beforeAutospacing="1" w:after="100" w:afterAutospacing="1"/>
    </w:pPr>
    <w:rPr>
      <w:rFonts w:eastAsia="Times New Roman"/>
      <w:lang w:val="en-GB" w:eastAsia="ko-KR"/>
    </w:rPr>
  </w:style>
  <w:style w:type="character" w:styleId="Odkaznakoment">
    <w:name w:val="annotation reference"/>
    <w:uiPriority w:val="99"/>
    <w:semiHidden/>
    <w:unhideWhenUsed/>
    <w:rsid w:val="00EF240C"/>
    <w:rPr>
      <w:sz w:val="16"/>
      <w:szCs w:val="16"/>
    </w:rPr>
  </w:style>
  <w:style w:type="paragraph" w:styleId="Pedmtkomente">
    <w:name w:val="annotation subject"/>
    <w:basedOn w:val="Textkomente"/>
    <w:next w:val="Textkomente"/>
    <w:link w:val="PedmtkomenteChar"/>
    <w:uiPriority w:val="99"/>
    <w:semiHidden/>
    <w:unhideWhenUsed/>
    <w:rsid w:val="00EF240C"/>
    <w:pPr>
      <w:suppressAutoHyphens w:val="0"/>
    </w:pPr>
    <w:rPr>
      <w:rFonts w:eastAsia="Calibri" w:cs="Times New Roman"/>
      <w:b/>
      <w:bCs/>
      <w:lang w:eastAsia="en-US"/>
    </w:rPr>
  </w:style>
  <w:style w:type="character" w:customStyle="1" w:styleId="PedmtkomenteChar">
    <w:name w:val="Předmět komentáře Char"/>
    <w:link w:val="Pedmtkomente"/>
    <w:uiPriority w:val="99"/>
    <w:semiHidden/>
    <w:rsid w:val="00EF240C"/>
    <w:rPr>
      <w:rFonts w:eastAsia="SimSun" w:cs="Calibri"/>
      <w:b/>
      <w:bCs/>
      <w:lang w:val="cs-CZ" w:eastAsia="en-US"/>
    </w:rPr>
  </w:style>
  <w:style w:type="paragraph" w:styleId="Textbubliny">
    <w:name w:val="Balloon Text"/>
    <w:basedOn w:val="Normln"/>
    <w:link w:val="TextbublinyChar"/>
    <w:uiPriority w:val="99"/>
    <w:semiHidden/>
    <w:unhideWhenUsed/>
    <w:rsid w:val="00EF240C"/>
    <w:rPr>
      <w:rFonts w:eastAsia="Times New Roman"/>
      <w:sz w:val="18"/>
      <w:szCs w:val="18"/>
      <w:lang w:val="en-GB" w:eastAsia="ko-KR"/>
    </w:rPr>
  </w:style>
  <w:style w:type="character" w:customStyle="1" w:styleId="TextbublinyChar">
    <w:name w:val="Text bubliny Char"/>
    <w:link w:val="Textbubliny"/>
    <w:uiPriority w:val="99"/>
    <w:semiHidden/>
    <w:rsid w:val="00EF240C"/>
    <w:rPr>
      <w:rFonts w:ascii="Times New Roman" w:hAnsi="Times New Roman"/>
      <w:sz w:val="18"/>
      <w:szCs w:val="18"/>
      <w:lang w:val="cs-CZ" w:eastAsia="en-US"/>
    </w:rPr>
  </w:style>
  <w:style w:type="paragraph" w:styleId="Zhlav">
    <w:name w:val="header"/>
    <w:basedOn w:val="Normln"/>
    <w:link w:val="ZhlavChar"/>
    <w:uiPriority w:val="99"/>
    <w:unhideWhenUsed/>
    <w:rsid w:val="00AD7C9F"/>
    <w:pPr>
      <w:tabs>
        <w:tab w:val="center" w:pos="4680"/>
        <w:tab w:val="right" w:pos="9360"/>
      </w:tabs>
    </w:pPr>
    <w:rPr>
      <w:rFonts w:eastAsia="Times New Roman"/>
      <w:lang w:val="en-GB" w:eastAsia="ko-KR"/>
    </w:rPr>
  </w:style>
  <w:style w:type="character" w:customStyle="1" w:styleId="ZhlavChar">
    <w:name w:val="Záhlaví Char"/>
    <w:link w:val="Zhlav"/>
    <w:uiPriority w:val="99"/>
    <w:qFormat/>
    <w:rsid w:val="00AD7C9F"/>
    <w:rPr>
      <w:sz w:val="22"/>
      <w:szCs w:val="22"/>
      <w:lang w:val="cs-CZ" w:eastAsia="en-US"/>
    </w:rPr>
  </w:style>
  <w:style w:type="character" w:customStyle="1" w:styleId="Nadpis1Char">
    <w:name w:val="Nadpis 1 Char"/>
    <w:link w:val="Nadpis1"/>
    <w:uiPriority w:val="9"/>
    <w:rsid w:val="003D0E90"/>
    <w:rPr>
      <w:rFonts w:ascii="Calibri Light" w:eastAsia="Malgun Gothic" w:hAnsi="Calibri Light" w:cs="Times New Roman"/>
      <w:b/>
      <w:bCs/>
      <w:kern w:val="32"/>
      <w:sz w:val="32"/>
      <w:szCs w:val="32"/>
    </w:rPr>
  </w:style>
  <w:style w:type="paragraph" w:styleId="Nadpisobsahu">
    <w:name w:val="TOC Heading"/>
    <w:basedOn w:val="Nadpis1"/>
    <w:next w:val="Normln"/>
    <w:uiPriority w:val="39"/>
    <w:unhideWhenUsed/>
    <w:qFormat/>
    <w:rsid w:val="00B54DBB"/>
    <w:pPr>
      <w:keepLines/>
      <w:spacing w:before="480" w:after="0" w:line="276" w:lineRule="auto"/>
      <w:outlineLvl w:val="9"/>
    </w:pPr>
    <w:rPr>
      <w:color w:val="2F5496"/>
      <w:kern w:val="0"/>
      <w:sz w:val="28"/>
      <w:szCs w:val="28"/>
      <w:lang w:val="en-US" w:eastAsia="en-US"/>
    </w:rPr>
  </w:style>
  <w:style w:type="paragraph" w:styleId="Obsah1">
    <w:name w:val="toc 1"/>
    <w:basedOn w:val="Normln"/>
    <w:next w:val="Normln"/>
    <w:autoRedefine/>
    <w:uiPriority w:val="39"/>
    <w:unhideWhenUsed/>
    <w:rsid w:val="00B54DBB"/>
    <w:pPr>
      <w:spacing w:before="120"/>
    </w:pPr>
    <w:rPr>
      <w:rFonts w:ascii="Calibri" w:eastAsia="Times New Roman" w:hAnsi="Calibri"/>
      <w:b/>
      <w:bCs/>
      <w:i/>
      <w:iCs/>
      <w:lang w:val="en-GB" w:eastAsia="ko-KR"/>
    </w:rPr>
  </w:style>
  <w:style w:type="paragraph" w:styleId="Obsah2">
    <w:name w:val="toc 2"/>
    <w:basedOn w:val="Normln"/>
    <w:next w:val="Normln"/>
    <w:autoRedefine/>
    <w:uiPriority w:val="39"/>
    <w:unhideWhenUsed/>
    <w:rsid w:val="00B54DBB"/>
    <w:pPr>
      <w:spacing w:before="120"/>
      <w:ind w:left="240"/>
    </w:pPr>
    <w:rPr>
      <w:rFonts w:ascii="Calibri" w:eastAsia="Times New Roman" w:hAnsi="Calibri"/>
      <w:b/>
      <w:bCs/>
      <w:sz w:val="22"/>
      <w:szCs w:val="22"/>
      <w:lang w:val="en-GB" w:eastAsia="ko-KR"/>
    </w:rPr>
  </w:style>
  <w:style w:type="paragraph" w:styleId="Obsah3">
    <w:name w:val="toc 3"/>
    <w:basedOn w:val="Normln"/>
    <w:next w:val="Normln"/>
    <w:autoRedefine/>
    <w:uiPriority w:val="39"/>
    <w:semiHidden/>
    <w:unhideWhenUsed/>
    <w:rsid w:val="00B54DBB"/>
    <w:pPr>
      <w:ind w:left="480"/>
    </w:pPr>
    <w:rPr>
      <w:rFonts w:ascii="Calibri" w:hAnsi="Calibri"/>
      <w:sz w:val="20"/>
      <w:szCs w:val="20"/>
    </w:rPr>
  </w:style>
  <w:style w:type="paragraph" w:styleId="Obsah4">
    <w:name w:val="toc 4"/>
    <w:basedOn w:val="Normln"/>
    <w:next w:val="Normln"/>
    <w:autoRedefine/>
    <w:uiPriority w:val="39"/>
    <w:semiHidden/>
    <w:unhideWhenUsed/>
    <w:rsid w:val="00B54DBB"/>
    <w:pPr>
      <w:ind w:left="720"/>
    </w:pPr>
    <w:rPr>
      <w:rFonts w:ascii="Calibri" w:hAnsi="Calibri"/>
      <w:sz w:val="20"/>
      <w:szCs w:val="20"/>
    </w:rPr>
  </w:style>
  <w:style w:type="paragraph" w:styleId="Obsah5">
    <w:name w:val="toc 5"/>
    <w:basedOn w:val="Normln"/>
    <w:next w:val="Normln"/>
    <w:autoRedefine/>
    <w:uiPriority w:val="39"/>
    <w:semiHidden/>
    <w:unhideWhenUsed/>
    <w:rsid w:val="00B54DBB"/>
    <w:pPr>
      <w:ind w:left="960"/>
    </w:pPr>
    <w:rPr>
      <w:rFonts w:ascii="Calibri" w:hAnsi="Calibri"/>
      <w:sz w:val="20"/>
      <w:szCs w:val="20"/>
    </w:rPr>
  </w:style>
  <w:style w:type="paragraph" w:styleId="Obsah6">
    <w:name w:val="toc 6"/>
    <w:basedOn w:val="Normln"/>
    <w:next w:val="Normln"/>
    <w:autoRedefine/>
    <w:uiPriority w:val="39"/>
    <w:semiHidden/>
    <w:unhideWhenUsed/>
    <w:rsid w:val="00B54DBB"/>
    <w:pPr>
      <w:ind w:left="1200"/>
    </w:pPr>
    <w:rPr>
      <w:rFonts w:ascii="Calibri" w:hAnsi="Calibri"/>
      <w:sz w:val="20"/>
      <w:szCs w:val="20"/>
    </w:rPr>
  </w:style>
  <w:style w:type="paragraph" w:styleId="Obsah7">
    <w:name w:val="toc 7"/>
    <w:basedOn w:val="Normln"/>
    <w:next w:val="Normln"/>
    <w:autoRedefine/>
    <w:uiPriority w:val="39"/>
    <w:semiHidden/>
    <w:unhideWhenUsed/>
    <w:rsid w:val="00B54DBB"/>
    <w:pPr>
      <w:ind w:left="1440"/>
    </w:pPr>
    <w:rPr>
      <w:rFonts w:ascii="Calibri" w:hAnsi="Calibri"/>
      <w:sz w:val="20"/>
      <w:szCs w:val="20"/>
    </w:rPr>
  </w:style>
  <w:style w:type="paragraph" w:styleId="Obsah8">
    <w:name w:val="toc 8"/>
    <w:basedOn w:val="Normln"/>
    <w:next w:val="Normln"/>
    <w:autoRedefine/>
    <w:uiPriority w:val="39"/>
    <w:semiHidden/>
    <w:unhideWhenUsed/>
    <w:rsid w:val="00B54DBB"/>
    <w:pPr>
      <w:ind w:left="1680"/>
    </w:pPr>
    <w:rPr>
      <w:rFonts w:ascii="Calibri" w:hAnsi="Calibri"/>
      <w:sz w:val="20"/>
      <w:szCs w:val="20"/>
    </w:rPr>
  </w:style>
  <w:style w:type="paragraph" w:styleId="Obsah9">
    <w:name w:val="toc 9"/>
    <w:basedOn w:val="Normln"/>
    <w:next w:val="Normln"/>
    <w:autoRedefine/>
    <w:uiPriority w:val="39"/>
    <w:semiHidden/>
    <w:unhideWhenUsed/>
    <w:rsid w:val="00B54DBB"/>
    <w:pPr>
      <w:ind w:left="1920"/>
    </w:pPr>
    <w:rPr>
      <w:rFonts w:ascii="Calibri" w:hAnsi="Calibri"/>
      <w:sz w:val="20"/>
      <w:szCs w:val="20"/>
    </w:rPr>
  </w:style>
  <w:style w:type="paragraph" w:styleId="Nzev">
    <w:name w:val="Title"/>
    <w:basedOn w:val="Normln"/>
    <w:next w:val="Normln"/>
    <w:link w:val="NzevChar"/>
    <w:uiPriority w:val="10"/>
    <w:qFormat/>
    <w:rsid w:val="005A680A"/>
    <w:pPr>
      <w:spacing w:before="240" w:after="60"/>
      <w:jc w:val="center"/>
      <w:outlineLvl w:val="0"/>
    </w:pPr>
    <w:rPr>
      <w:rFonts w:ascii="Calibri Light" w:eastAsia="Malgun Gothic" w:hAnsi="Calibri Light"/>
      <w:b/>
      <w:bCs/>
      <w:kern w:val="28"/>
      <w:sz w:val="32"/>
      <w:szCs w:val="32"/>
      <w:lang w:val="en-GB" w:eastAsia="ko-KR"/>
    </w:rPr>
  </w:style>
  <w:style w:type="character" w:customStyle="1" w:styleId="NzevChar">
    <w:name w:val="Název Char"/>
    <w:link w:val="Nzev"/>
    <w:uiPriority w:val="10"/>
    <w:rsid w:val="005A680A"/>
    <w:rPr>
      <w:rFonts w:ascii="Calibri Light" w:eastAsia="Malgun Gothic" w:hAnsi="Calibri Light" w:cs="Times New Roman"/>
      <w:b/>
      <w:bCs/>
      <w:kern w:val="28"/>
      <w:sz w:val="32"/>
      <w:szCs w:val="32"/>
    </w:rPr>
  </w:style>
  <w:style w:type="character" w:customStyle="1" w:styleId="Nevyeenzmnka1">
    <w:name w:val="Nevyřešená zmínka1"/>
    <w:uiPriority w:val="99"/>
    <w:semiHidden/>
    <w:unhideWhenUsed/>
    <w:rsid w:val="009F097E"/>
    <w:rPr>
      <w:color w:val="605E5C"/>
      <w:shd w:val="clear" w:color="auto" w:fill="E1DFDD"/>
    </w:rPr>
  </w:style>
  <w:style w:type="paragraph" w:customStyle="1" w:styleId="Odstavecseseznamem1">
    <w:name w:val="Odstavec se seznamem1"/>
    <w:basedOn w:val="Normln"/>
    <w:uiPriority w:val="34"/>
    <w:qFormat/>
    <w:rsid w:val="006A7D99"/>
    <w:pPr>
      <w:spacing w:after="200" w:line="276" w:lineRule="auto"/>
      <w:ind w:left="720"/>
      <w:contextualSpacing/>
    </w:pPr>
    <w:rPr>
      <w:rFonts w:ascii="Calibri" w:hAnsi="Calibri"/>
      <w:sz w:val="22"/>
      <w:szCs w:val="22"/>
      <w:lang w:val="cs-CZ"/>
    </w:rPr>
  </w:style>
  <w:style w:type="paragraph" w:styleId="Revize">
    <w:name w:val="Revision"/>
    <w:hidden/>
    <w:uiPriority w:val="99"/>
    <w:semiHidden/>
    <w:rsid w:val="00B56E4D"/>
    <w:rPr>
      <w:rFonts w:ascii="Times New Roman" w:eastAsia="Times New Roman" w:hAnsi="Times New Roman"/>
      <w:sz w:val="24"/>
      <w:szCs w:val="24"/>
      <w:lang w:val="en-GB" w:eastAsia="ko-KR"/>
    </w:rPr>
  </w:style>
  <w:style w:type="paragraph" w:styleId="Bezmezer">
    <w:name w:val="No Spacing"/>
    <w:link w:val="BezmezerChar"/>
    <w:uiPriority w:val="1"/>
    <w:qFormat/>
    <w:rsid w:val="00120E5C"/>
    <w:rPr>
      <w:rFonts w:eastAsia="Times New Roman"/>
      <w:sz w:val="22"/>
      <w:szCs w:val="22"/>
      <w:lang w:val="cs-CZ" w:eastAsia="cs-CZ"/>
    </w:rPr>
  </w:style>
  <w:style w:type="character" w:customStyle="1" w:styleId="BezmezerChar">
    <w:name w:val="Bez mezer Char"/>
    <w:link w:val="Bezmezer"/>
    <w:uiPriority w:val="1"/>
    <w:rsid w:val="00120E5C"/>
    <w:rPr>
      <w:rFonts w:eastAsia="Times New Roman"/>
      <w:sz w:val="22"/>
      <w:szCs w:val="22"/>
    </w:rPr>
  </w:style>
  <w:style w:type="character" w:customStyle="1" w:styleId="apple-converted-space">
    <w:name w:val="apple-converted-space"/>
    <w:basedOn w:val="Standardnpsmoodstavce"/>
    <w:rsid w:val="00F94FB8"/>
  </w:style>
  <w:style w:type="character" w:styleId="Zvraznn">
    <w:name w:val="Emphasis"/>
    <w:basedOn w:val="Standardnpsmoodstavce"/>
    <w:uiPriority w:val="20"/>
    <w:qFormat/>
    <w:rsid w:val="00B55BF0"/>
    <w:rPr>
      <w:i/>
      <w:iCs/>
    </w:rPr>
  </w:style>
  <w:style w:type="paragraph" w:styleId="Zkladntextodsazen">
    <w:name w:val="Body Text Indent"/>
    <w:basedOn w:val="Normln"/>
    <w:link w:val="ZkladntextodsazenChar"/>
    <w:rsid w:val="00747E67"/>
    <w:pPr>
      <w:spacing w:after="120"/>
      <w:ind w:left="283"/>
    </w:pPr>
    <w:rPr>
      <w:rFonts w:eastAsia="Times New Roman"/>
      <w:lang w:val="cs-CZ" w:eastAsia="cs-CZ"/>
    </w:rPr>
  </w:style>
  <w:style w:type="character" w:customStyle="1" w:styleId="ZkladntextodsazenChar">
    <w:name w:val="Základní text odsazený Char"/>
    <w:basedOn w:val="Standardnpsmoodstavce"/>
    <w:link w:val="Zkladntextodsazen"/>
    <w:rsid w:val="00747E67"/>
    <w:rPr>
      <w:rFonts w:ascii="Times New Roman" w:eastAsia="Times New Roman" w:hAnsi="Times New Roman"/>
      <w:sz w:val="24"/>
      <w:szCs w:val="24"/>
      <w:lang w:val="cs-CZ" w:eastAsia="cs-CZ"/>
    </w:rPr>
  </w:style>
  <w:style w:type="character" w:styleId="Siln">
    <w:name w:val="Strong"/>
    <w:uiPriority w:val="22"/>
    <w:qFormat/>
    <w:rsid w:val="00385B92"/>
    <w:rPr>
      <w:b/>
      <w:bCs/>
    </w:rPr>
  </w:style>
  <w:style w:type="paragraph" w:styleId="Titulek">
    <w:name w:val="caption"/>
    <w:basedOn w:val="Normln"/>
    <w:next w:val="Normln"/>
    <w:uiPriority w:val="35"/>
    <w:unhideWhenUsed/>
    <w:qFormat/>
    <w:rsid w:val="00796BE5"/>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9443">
      <w:bodyDiv w:val="1"/>
      <w:marLeft w:val="0"/>
      <w:marRight w:val="0"/>
      <w:marTop w:val="0"/>
      <w:marBottom w:val="0"/>
      <w:divBdr>
        <w:top w:val="none" w:sz="0" w:space="0" w:color="auto"/>
        <w:left w:val="none" w:sz="0" w:space="0" w:color="auto"/>
        <w:bottom w:val="none" w:sz="0" w:space="0" w:color="auto"/>
        <w:right w:val="none" w:sz="0" w:space="0" w:color="auto"/>
      </w:divBdr>
    </w:div>
    <w:div w:id="228154703">
      <w:bodyDiv w:val="1"/>
      <w:marLeft w:val="0"/>
      <w:marRight w:val="0"/>
      <w:marTop w:val="0"/>
      <w:marBottom w:val="0"/>
      <w:divBdr>
        <w:top w:val="none" w:sz="0" w:space="0" w:color="auto"/>
        <w:left w:val="none" w:sz="0" w:space="0" w:color="auto"/>
        <w:bottom w:val="none" w:sz="0" w:space="0" w:color="auto"/>
        <w:right w:val="none" w:sz="0" w:space="0" w:color="auto"/>
      </w:divBdr>
    </w:div>
    <w:div w:id="289824687">
      <w:bodyDiv w:val="1"/>
      <w:marLeft w:val="0"/>
      <w:marRight w:val="0"/>
      <w:marTop w:val="0"/>
      <w:marBottom w:val="0"/>
      <w:divBdr>
        <w:top w:val="none" w:sz="0" w:space="0" w:color="auto"/>
        <w:left w:val="none" w:sz="0" w:space="0" w:color="auto"/>
        <w:bottom w:val="none" w:sz="0" w:space="0" w:color="auto"/>
        <w:right w:val="none" w:sz="0" w:space="0" w:color="auto"/>
      </w:divBdr>
    </w:div>
    <w:div w:id="339478363">
      <w:bodyDiv w:val="1"/>
      <w:marLeft w:val="0"/>
      <w:marRight w:val="0"/>
      <w:marTop w:val="0"/>
      <w:marBottom w:val="0"/>
      <w:divBdr>
        <w:top w:val="none" w:sz="0" w:space="0" w:color="auto"/>
        <w:left w:val="none" w:sz="0" w:space="0" w:color="auto"/>
        <w:bottom w:val="none" w:sz="0" w:space="0" w:color="auto"/>
        <w:right w:val="none" w:sz="0" w:space="0" w:color="auto"/>
      </w:divBdr>
    </w:div>
    <w:div w:id="342171487">
      <w:bodyDiv w:val="1"/>
      <w:marLeft w:val="0"/>
      <w:marRight w:val="0"/>
      <w:marTop w:val="0"/>
      <w:marBottom w:val="0"/>
      <w:divBdr>
        <w:top w:val="none" w:sz="0" w:space="0" w:color="auto"/>
        <w:left w:val="none" w:sz="0" w:space="0" w:color="auto"/>
        <w:bottom w:val="none" w:sz="0" w:space="0" w:color="auto"/>
        <w:right w:val="none" w:sz="0" w:space="0" w:color="auto"/>
      </w:divBdr>
    </w:div>
    <w:div w:id="384715430">
      <w:bodyDiv w:val="1"/>
      <w:marLeft w:val="0"/>
      <w:marRight w:val="0"/>
      <w:marTop w:val="0"/>
      <w:marBottom w:val="0"/>
      <w:divBdr>
        <w:top w:val="none" w:sz="0" w:space="0" w:color="auto"/>
        <w:left w:val="none" w:sz="0" w:space="0" w:color="auto"/>
        <w:bottom w:val="none" w:sz="0" w:space="0" w:color="auto"/>
        <w:right w:val="none" w:sz="0" w:space="0" w:color="auto"/>
      </w:divBdr>
    </w:div>
    <w:div w:id="396902922">
      <w:bodyDiv w:val="1"/>
      <w:marLeft w:val="0"/>
      <w:marRight w:val="0"/>
      <w:marTop w:val="0"/>
      <w:marBottom w:val="0"/>
      <w:divBdr>
        <w:top w:val="none" w:sz="0" w:space="0" w:color="auto"/>
        <w:left w:val="none" w:sz="0" w:space="0" w:color="auto"/>
        <w:bottom w:val="none" w:sz="0" w:space="0" w:color="auto"/>
        <w:right w:val="none" w:sz="0" w:space="0" w:color="auto"/>
      </w:divBdr>
    </w:div>
    <w:div w:id="481697781">
      <w:bodyDiv w:val="1"/>
      <w:marLeft w:val="0"/>
      <w:marRight w:val="0"/>
      <w:marTop w:val="0"/>
      <w:marBottom w:val="0"/>
      <w:divBdr>
        <w:top w:val="none" w:sz="0" w:space="0" w:color="auto"/>
        <w:left w:val="none" w:sz="0" w:space="0" w:color="auto"/>
        <w:bottom w:val="none" w:sz="0" w:space="0" w:color="auto"/>
        <w:right w:val="none" w:sz="0" w:space="0" w:color="auto"/>
      </w:divBdr>
    </w:div>
    <w:div w:id="510872752">
      <w:bodyDiv w:val="1"/>
      <w:marLeft w:val="0"/>
      <w:marRight w:val="0"/>
      <w:marTop w:val="0"/>
      <w:marBottom w:val="0"/>
      <w:divBdr>
        <w:top w:val="none" w:sz="0" w:space="0" w:color="auto"/>
        <w:left w:val="none" w:sz="0" w:space="0" w:color="auto"/>
        <w:bottom w:val="none" w:sz="0" w:space="0" w:color="auto"/>
        <w:right w:val="none" w:sz="0" w:space="0" w:color="auto"/>
      </w:divBdr>
    </w:div>
    <w:div w:id="571424954">
      <w:bodyDiv w:val="1"/>
      <w:marLeft w:val="0"/>
      <w:marRight w:val="0"/>
      <w:marTop w:val="0"/>
      <w:marBottom w:val="0"/>
      <w:divBdr>
        <w:top w:val="none" w:sz="0" w:space="0" w:color="auto"/>
        <w:left w:val="none" w:sz="0" w:space="0" w:color="auto"/>
        <w:bottom w:val="none" w:sz="0" w:space="0" w:color="auto"/>
        <w:right w:val="none" w:sz="0" w:space="0" w:color="auto"/>
      </w:divBdr>
    </w:div>
    <w:div w:id="601956022">
      <w:bodyDiv w:val="1"/>
      <w:marLeft w:val="0"/>
      <w:marRight w:val="0"/>
      <w:marTop w:val="0"/>
      <w:marBottom w:val="0"/>
      <w:divBdr>
        <w:top w:val="none" w:sz="0" w:space="0" w:color="auto"/>
        <w:left w:val="none" w:sz="0" w:space="0" w:color="auto"/>
        <w:bottom w:val="none" w:sz="0" w:space="0" w:color="auto"/>
        <w:right w:val="none" w:sz="0" w:space="0" w:color="auto"/>
      </w:divBdr>
    </w:div>
    <w:div w:id="776098881">
      <w:bodyDiv w:val="1"/>
      <w:marLeft w:val="0"/>
      <w:marRight w:val="0"/>
      <w:marTop w:val="0"/>
      <w:marBottom w:val="0"/>
      <w:divBdr>
        <w:top w:val="none" w:sz="0" w:space="0" w:color="auto"/>
        <w:left w:val="none" w:sz="0" w:space="0" w:color="auto"/>
        <w:bottom w:val="none" w:sz="0" w:space="0" w:color="auto"/>
        <w:right w:val="none" w:sz="0" w:space="0" w:color="auto"/>
      </w:divBdr>
    </w:div>
    <w:div w:id="808129567">
      <w:bodyDiv w:val="1"/>
      <w:marLeft w:val="0"/>
      <w:marRight w:val="0"/>
      <w:marTop w:val="0"/>
      <w:marBottom w:val="0"/>
      <w:divBdr>
        <w:top w:val="none" w:sz="0" w:space="0" w:color="auto"/>
        <w:left w:val="none" w:sz="0" w:space="0" w:color="auto"/>
        <w:bottom w:val="none" w:sz="0" w:space="0" w:color="auto"/>
        <w:right w:val="none" w:sz="0" w:space="0" w:color="auto"/>
      </w:divBdr>
    </w:div>
    <w:div w:id="863902335">
      <w:bodyDiv w:val="1"/>
      <w:marLeft w:val="0"/>
      <w:marRight w:val="0"/>
      <w:marTop w:val="0"/>
      <w:marBottom w:val="0"/>
      <w:divBdr>
        <w:top w:val="none" w:sz="0" w:space="0" w:color="auto"/>
        <w:left w:val="none" w:sz="0" w:space="0" w:color="auto"/>
        <w:bottom w:val="none" w:sz="0" w:space="0" w:color="auto"/>
        <w:right w:val="none" w:sz="0" w:space="0" w:color="auto"/>
      </w:divBdr>
    </w:div>
    <w:div w:id="893153975">
      <w:bodyDiv w:val="1"/>
      <w:marLeft w:val="0"/>
      <w:marRight w:val="0"/>
      <w:marTop w:val="0"/>
      <w:marBottom w:val="0"/>
      <w:divBdr>
        <w:top w:val="none" w:sz="0" w:space="0" w:color="auto"/>
        <w:left w:val="none" w:sz="0" w:space="0" w:color="auto"/>
        <w:bottom w:val="none" w:sz="0" w:space="0" w:color="auto"/>
        <w:right w:val="none" w:sz="0" w:space="0" w:color="auto"/>
      </w:divBdr>
    </w:div>
    <w:div w:id="903108398">
      <w:bodyDiv w:val="1"/>
      <w:marLeft w:val="0"/>
      <w:marRight w:val="0"/>
      <w:marTop w:val="0"/>
      <w:marBottom w:val="0"/>
      <w:divBdr>
        <w:top w:val="none" w:sz="0" w:space="0" w:color="auto"/>
        <w:left w:val="none" w:sz="0" w:space="0" w:color="auto"/>
        <w:bottom w:val="none" w:sz="0" w:space="0" w:color="auto"/>
        <w:right w:val="none" w:sz="0" w:space="0" w:color="auto"/>
      </w:divBdr>
    </w:div>
    <w:div w:id="938027078">
      <w:bodyDiv w:val="1"/>
      <w:marLeft w:val="0"/>
      <w:marRight w:val="0"/>
      <w:marTop w:val="0"/>
      <w:marBottom w:val="0"/>
      <w:divBdr>
        <w:top w:val="none" w:sz="0" w:space="0" w:color="auto"/>
        <w:left w:val="none" w:sz="0" w:space="0" w:color="auto"/>
        <w:bottom w:val="none" w:sz="0" w:space="0" w:color="auto"/>
        <w:right w:val="none" w:sz="0" w:space="0" w:color="auto"/>
      </w:divBdr>
    </w:div>
    <w:div w:id="988707128">
      <w:bodyDiv w:val="1"/>
      <w:marLeft w:val="0"/>
      <w:marRight w:val="0"/>
      <w:marTop w:val="0"/>
      <w:marBottom w:val="0"/>
      <w:divBdr>
        <w:top w:val="none" w:sz="0" w:space="0" w:color="auto"/>
        <w:left w:val="none" w:sz="0" w:space="0" w:color="auto"/>
        <w:bottom w:val="none" w:sz="0" w:space="0" w:color="auto"/>
        <w:right w:val="none" w:sz="0" w:space="0" w:color="auto"/>
      </w:divBdr>
    </w:div>
    <w:div w:id="1000499986">
      <w:bodyDiv w:val="1"/>
      <w:marLeft w:val="0"/>
      <w:marRight w:val="0"/>
      <w:marTop w:val="0"/>
      <w:marBottom w:val="0"/>
      <w:divBdr>
        <w:top w:val="none" w:sz="0" w:space="0" w:color="auto"/>
        <w:left w:val="none" w:sz="0" w:space="0" w:color="auto"/>
        <w:bottom w:val="none" w:sz="0" w:space="0" w:color="auto"/>
        <w:right w:val="none" w:sz="0" w:space="0" w:color="auto"/>
      </w:divBdr>
      <w:divsChild>
        <w:div w:id="1266425873">
          <w:marLeft w:val="0"/>
          <w:marRight w:val="0"/>
          <w:marTop w:val="0"/>
          <w:marBottom w:val="0"/>
          <w:divBdr>
            <w:top w:val="none" w:sz="0" w:space="0" w:color="auto"/>
            <w:left w:val="none" w:sz="0" w:space="0" w:color="auto"/>
            <w:bottom w:val="none" w:sz="0" w:space="0" w:color="auto"/>
            <w:right w:val="none" w:sz="0" w:space="0" w:color="auto"/>
          </w:divBdr>
        </w:div>
      </w:divsChild>
    </w:div>
    <w:div w:id="1041638455">
      <w:bodyDiv w:val="1"/>
      <w:marLeft w:val="0"/>
      <w:marRight w:val="0"/>
      <w:marTop w:val="0"/>
      <w:marBottom w:val="0"/>
      <w:divBdr>
        <w:top w:val="none" w:sz="0" w:space="0" w:color="auto"/>
        <w:left w:val="none" w:sz="0" w:space="0" w:color="auto"/>
        <w:bottom w:val="none" w:sz="0" w:space="0" w:color="auto"/>
        <w:right w:val="none" w:sz="0" w:space="0" w:color="auto"/>
      </w:divBdr>
    </w:div>
    <w:div w:id="1064910310">
      <w:bodyDiv w:val="1"/>
      <w:marLeft w:val="0"/>
      <w:marRight w:val="0"/>
      <w:marTop w:val="0"/>
      <w:marBottom w:val="0"/>
      <w:divBdr>
        <w:top w:val="none" w:sz="0" w:space="0" w:color="auto"/>
        <w:left w:val="none" w:sz="0" w:space="0" w:color="auto"/>
        <w:bottom w:val="none" w:sz="0" w:space="0" w:color="auto"/>
        <w:right w:val="none" w:sz="0" w:space="0" w:color="auto"/>
      </w:divBdr>
    </w:div>
    <w:div w:id="1107386604">
      <w:bodyDiv w:val="1"/>
      <w:marLeft w:val="0"/>
      <w:marRight w:val="0"/>
      <w:marTop w:val="0"/>
      <w:marBottom w:val="0"/>
      <w:divBdr>
        <w:top w:val="none" w:sz="0" w:space="0" w:color="auto"/>
        <w:left w:val="none" w:sz="0" w:space="0" w:color="auto"/>
        <w:bottom w:val="none" w:sz="0" w:space="0" w:color="auto"/>
        <w:right w:val="none" w:sz="0" w:space="0" w:color="auto"/>
      </w:divBdr>
    </w:div>
    <w:div w:id="1255868862">
      <w:bodyDiv w:val="1"/>
      <w:marLeft w:val="0"/>
      <w:marRight w:val="0"/>
      <w:marTop w:val="0"/>
      <w:marBottom w:val="0"/>
      <w:divBdr>
        <w:top w:val="none" w:sz="0" w:space="0" w:color="auto"/>
        <w:left w:val="none" w:sz="0" w:space="0" w:color="auto"/>
        <w:bottom w:val="none" w:sz="0" w:space="0" w:color="auto"/>
        <w:right w:val="none" w:sz="0" w:space="0" w:color="auto"/>
      </w:divBdr>
    </w:div>
    <w:div w:id="1258756564">
      <w:bodyDiv w:val="1"/>
      <w:marLeft w:val="0"/>
      <w:marRight w:val="0"/>
      <w:marTop w:val="0"/>
      <w:marBottom w:val="0"/>
      <w:divBdr>
        <w:top w:val="none" w:sz="0" w:space="0" w:color="auto"/>
        <w:left w:val="none" w:sz="0" w:space="0" w:color="auto"/>
        <w:bottom w:val="none" w:sz="0" w:space="0" w:color="auto"/>
        <w:right w:val="none" w:sz="0" w:space="0" w:color="auto"/>
      </w:divBdr>
    </w:div>
    <w:div w:id="1347486962">
      <w:bodyDiv w:val="1"/>
      <w:marLeft w:val="0"/>
      <w:marRight w:val="0"/>
      <w:marTop w:val="0"/>
      <w:marBottom w:val="0"/>
      <w:divBdr>
        <w:top w:val="none" w:sz="0" w:space="0" w:color="auto"/>
        <w:left w:val="none" w:sz="0" w:space="0" w:color="auto"/>
        <w:bottom w:val="none" w:sz="0" w:space="0" w:color="auto"/>
        <w:right w:val="none" w:sz="0" w:space="0" w:color="auto"/>
      </w:divBdr>
    </w:div>
    <w:div w:id="1388916720">
      <w:bodyDiv w:val="1"/>
      <w:marLeft w:val="0"/>
      <w:marRight w:val="0"/>
      <w:marTop w:val="0"/>
      <w:marBottom w:val="0"/>
      <w:divBdr>
        <w:top w:val="none" w:sz="0" w:space="0" w:color="auto"/>
        <w:left w:val="none" w:sz="0" w:space="0" w:color="auto"/>
        <w:bottom w:val="none" w:sz="0" w:space="0" w:color="auto"/>
        <w:right w:val="none" w:sz="0" w:space="0" w:color="auto"/>
      </w:divBdr>
    </w:div>
    <w:div w:id="1397510929">
      <w:bodyDiv w:val="1"/>
      <w:marLeft w:val="0"/>
      <w:marRight w:val="0"/>
      <w:marTop w:val="0"/>
      <w:marBottom w:val="0"/>
      <w:divBdr>
        <w:top w:val="none" w:sz="0" w:space="0" w:color="auto"/>
        <w:left w:val="none" w:sz="0" w:space="0" w:color="auto"/>
        <w:bottom w:val="none" w:sz="0" w:space="0" w:color="auto"/>
        <w:right w:val="none" w:sz="0" w:space="0" w:color="auto"/>
      </w:divBdr>
    </w:div>
    <w:div w:id="1414010441">
      <w:bodyDiv w:val="1"/>
      <w:marLeft w:val="0"/>
      <w:marRight w:val="0"/>
      <w:marTop w:val="0"/>
      <w:marBottom w:val="0"/>
      <w:divBdr>
        <w:top w:val="none" w:sz="0" w:space="0" w:color="auto"/>
        <w:left w:val="none" w:sz="0" w:space="0" w:color="auto"/>
        <w:bottom w:val="none" w:sz="0" w:space="0" w:color="auto"/>
        <w:right w:val="none" w:sz="0" w:space="0" w:color="auto"/>
      </w:divBdr>
    </w:div>
    <w:div w:id="1454014175">
      <w:bodyDiv w:val="1"/>
      <w:marLeft w:val="0"/>
      <w:marRight w:val="0"/>
      <w:marTop w:val="0"/>
      <w:marBottom w:val="0"/>
      <w:divBdr>
        <w:top w:val="none" w:sz="0" w:space="0" w:color="auto"/>
        <w:left w:val="none" w:sz="0" w:space="0" w:color="auto"/>
        <w:bottom w:val="none" w:sz="0" w:space="0" w:color="auto"/>
        <w:right w:val="none" w:sz="0" w:space="0" w:color="auto"/>
      </w:divBdr>
    </w:div>
    <w:div w:id="1604726666">
      <w:bodyDiv w:val="1"/>
      <w:marLeft w:val="0"/>
      <w:marRight w:val="0"/>
      <w:marTop w:val="0"/>
      <w:marBottom w:val="0"/>
      <w:divBdr>
        <w:top w:val="none" w:sz="0" w:space="0" w:color="auto"/>
        <w:left w:val="none" w:sz="0" w:space="0" w:color="auto"/>
        <w:bottom w:val="none" w:sz="0" w:space="0" w:color="auto"/>
        <w:right w:val="none" w:sz="0" w:space="0" w:color="auto"/>
      </w:divBdr>
    </w:div>
    <w:div w:id="1727954057">
      <w:bodyDiv w:val="1"/>
      <w:marLeft w:val="0"/>
      <w:marRight w:val="0"/>
      <w:marTop w:val="0"/>
      <w:marBottom w:val="0"/>
      <w:divBdr>
        <w:top w:val="none" w:sz="0" w:space="0" w:color="auto"/>
        <w:left w:val="none" w:sz="0" w:space="0" w:color="auto"/>
        <w:bottom w:val="none" w:sz="0" w:space="0" w:color="auto"/>
        <w:right w:val="none" w:sz="0" w:space="0" w:color="auto"/>
      </w:divBdr>
      <w:divsChild>
        <w:div w:id="728307599">
          <w:marLeft w:val="0"/>
          <w:marRight w:val="0"/>
          <w:marTop w:val="0"/>
          <w:marBottom w:val="0"/>
          <w:divBdr>
            <w:top w:val="none" w:sz="0" w:space="0" w:color="auto"/>
            <w:left w:val="none" w:sz="0" w:space="0" w:color="auto"/>
            <w:bottom w:val="none" w:sz="0" w:space="0" w:color="auto"/>
            <w:right w:val="none" w:sz="0" w:space="0" w:color="auto"/>
          </w:divBdr>
        </w:div>
      </w:divsChild>
    </w:div>
    <w:div w:id="1739666238">
      <w:bodyDiv w:val="1"/>
      <w:marLeft w:val="0"/>
      <w:marRight w:val="0"/>
      <w:marTop w:val="0"/>
      <w:marBottom w:val="0"/>
      <w:divBdr>
        <w:top w:val="none" w:sz="0" w:space="0" w:color="auto"/>
        <w:left w:val="none" w:sz="0" w:space="0" w:color="auto"/>
        <w:bottom w:val="none" w:sz="0" w:space="0" w:color="auto"/>
        <w:right w:val="none" w:sz="0" w:space="0" w:color="auto"/>
      </w:divBdr>
    </w:div>
    <w:div w:id="1857424970">
      <w:bodyDiv w:val="1"/>
      <w:marLeft w:val="0"/>
      <w:marRight w:val="0"/>
      <w:marTop w:val="0"/>
      <w:marBottom w:val="0"/>
      <w:divBdr>
        <w:top w:val="none" w:sz="0" w:space="0" w:color="auto"/>
        <w:left w:val="none" w:sz="0" w:space="0" w:color="auto"/>
        <w:bottom w:val="none" w:sz="0" w:space="0" w:color="auto"/>
        <w:right w:val="none" w:sz="0" w:space="0" w:color="auto"/>
      </w:divBdr>
    </w:div>
    <w:div w:id="1919702846">
      <w:bodyDiv w:val="1"/>
      <w:marLeft w:val="0"/>
      <w:marRight w:val="0"/>
      <w:marTop w:val="0"/>
      <w:marBottom w:val="0"/>
      <w:divBdr>
        <w:top w:val="none" w:sz="0" w:space="0" w:color="auto"/>
        <w:left w:val="none" w:sz="0" w:space="0" w:color="auto"/>
        <w:bottom w:val="none" w:sz="0" w:space="0" w:color="auto"/>
        <w:right w:val="none" w:sz="0" w:space="0" w:color="auto"/>
      </w:divBdr>
    </w:div>
    <w:div w:id="1984192879">
      <w:bodyDiv w:val="1"/>
      <w:marLeft w:val="0"/>
      <w:marRight w:val="0"/>
      <w:marTop w:val="0"/>
      <w:marBottom w:val="0"/>
      <w:divBdr>
        <w:top w:val="none" w:sz="0" w:space="0" w:color="auto"/>
        <w:left w:val="none" w:sz="0" w:space="0" w:color="auto"/>
        <w:bottom w:val="none" w:sz="0" w:space="0" w:color="auto"/>
        <w:right w:val="none" w:sz="0" w:space="0" w:color="auto"/>
      </w:divBdr>
    </w:div>
    <w:div w:id="2049136048">
      <w:bodyDiv w:val="1"/>
      <w:marLeft w:val="0"/>
      <w:marRight w:val="0"/>
      <w:marTop w:val="0"/>
      <w:marBottom w:val="0"/>
      <w:divBdr>
        <w:top w:val="none" w:sz="0" w:space="0" w:color="auto"/>
        <w:left w:val="none" w:sz="0" w:space="0" w:color="auto"/>
        <w:bottom w:val="none" w:sz="0" w:space="0" w:color="auto"/>
        <w:right w:val="none" w:sz="0" w:space="0" w:color="auto"/>
      </w:divBdr>
    </w:div>
    <w:div w:id="2088919115">
      <w:bodyDiv w:val="1"/>
      <w:marLeft w:val="0"/>
      <w:marRight w:val="0"/>
      <w:marTop w:val="0"/>
      <w:marBottom w:val="0"/>
      <w:divBdr>
        <w:top w:val="none" w:sz="0" w:space="0" w:color="auto"/>
        <w:left w:val="none" w:sz="0" w:space="0" w:color="auto"/>
        <w:bottom w:val="none" w:sz="0" w:space="0" w:color="auto"/>
        <w:right w:val="none" w:sz="0" w:space="0" w:color="auto"/>
      </w:divBdr>
    </w:div>
    <w:div w:id="2118059921">
      <w:bodyDiv w:val="1"/>
      <w:marLeft w:val="0"/>
      <w:marRight w:val="0"/>
      <w:marTop w:val="0"/>
      <w:marBottom w:val="0"/>
      <w:divBdr>
        <w:top w:val="none" w:sz="0" w:space="0" w:color="auto"/>
        <w:left w:val="none" w:sz="0" w:space="0" w:color="auto"/>
        <w:bottom w:val="none" w:sz="0" w:space="0" w:color="auto"/>
        <w:right w:val="none" w:sz="0" w:space="0" w:color="auto"/>
      </w:divBdr>
    </w:div>
    <w:div w:id="214264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yperlink" Target="https://www.mvcr.cz/soubor/osl-pomoc-obetem.aspx"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zso.cz/csu/czso/zaostreno-na-zeny-a-muze-ffhk87f13g" TargetMode="External"/><Relationship Id="rId17" Type="http://schemas.openxmlformats.org/officeDocument/2006/relationships/hyperlink" Target="https://cs.wikipedia.org/wiki/K%C5%99%C3%AD%C5%BEek_(znak)" TargetMode="External"/><Relationship Id="rId25" Type="http://schemas.openxmlformats.org/officeDocument/2006/relationships/hyperlink" Target="mailto:ombudsman@army.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hyperlink" Target="https://www.mvcr.cz/migrace/docDetail.aspx?docid=22184202&amp;doctype=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jadl.act.nato.int/"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hyperlink" Target="http://www.army.cz/informacni-servis/povinne-informace/1-rovne-prilezitosti/rovne-prilezitosti-muzu-a-zen-54018/" TargetMode="External"/><Relationship Id="rId36" Type="http://schemas.microsoft.com/office/2016/09/relationships/commentsIds" Target="commentsIds.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hyperlink" Target="http://www.army.cz/informacni-servis/povinne-informace/1-rovne-prilezitosti/rovne-prilezitosti-muzu-a-zen-54018/" TargetMode="External"/><Relationship Id="rId30" Type="http://schemas.openxmlformats.org/officeDocument/2006/relationships/hyperlink" Target="https://www.mvcr.cz/migrace/clanek/cizinci-s-povolenym-pobytem.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lada.cz/assets/ppov/rovne-prilezitosti-zen-a-muzu/cinnost_rady/RVRZM_vysledky_per_rollam_02-2020.pdf" TargetMode="External"/><Relationship Id="rId7" Type="http://schemas.openxmlformats.org/officeDocument/2006/relationships/hyperlink" Target="https://www.czso.cz/csu/czso/zaostreno-na-zeny-a-muze-2020" TargetMode="External"/><Relationship Id="rId2" Type="http://schemas.openxmlformats.org/officeDocument/2006/relationships/hyperlink" Target="https://www.vlada.cz/assets/ppov/rovne-prilezitosti-zen-a-muzu/Aktuality/Strategie_rovnosti_zen_a_muzu.pdf?fbclid=IwAR0KAXHd4oBuGaXp_4pAe74hCtVV-5wHNf4QJedeNLvcSCIbqc54n_m58lk" TargetMode="External"/><Relationship Id="rId1" Type="http://schemas.openxmlformats.org/officeDocument/2006/relationships/hyperlink" Target="http://www.peacewomen.org/member-states" TargetMode="External"/><Relationship Id="rId6" Type="http://schemas.openxmlformats.org/officeDocument/2006/relationships/hyperlink" Target="https://www.iir.cz/article/towards-a-meaningful-change-gendered-foreign-policy-in-practice1" TargetMode="External"/><Relationship Id="rId5" Type="http://schemas.openxmlformats.org/officeDocument/2006/relationships/hyperlink" Target="https://denikreferendum.cz/clanek/32127-zeny-v-ceske-zahranicni-politice-vlastnima-ocima---optimismus-do-budoucna" TargetMode="External"/><Relationship Id="rId4" Type="http://schemas.openxmlformats.org/officeDocument/2006/relationships/hyperlink" Target="http://www.vlada.cz/cz/-17545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services.mocr\101_Users\Users4\JonitovaB\Dokumenty\Dokumenty\rovnost\Anal&#253;zy\2021\&#250;sp&#283;&#353;nost%20p&#345;ijet&#237;%20ke%20studiu-%20v&#253;se&#269;ov&#233;%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3.xml.rels><?xml version="1.0" encoding="UTF-8" standalone="yes"?>
<Relationships xmlns="http://schemas.openxmlformats.org/package/2006/relationships"><Relationship Id="rId1" Type="http://schemas.openxmlformats.org/officeDocument/2006/relationships/oleObject" Target="file:///\\services.mocr\101_Users\Users4\JonitovaB\Dokumenty\Dokumenty\rovnost\Anal&#253;zy\2021\v&#253;voj%20rozd&#237;lu%20v%20pr&#367;m&#283;rn&#233;m%20PLATU%20-%20pro%20vyhodnocen&#237;.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services.mocr\101_Users\Users4\JonitovaB\dokumenty\Dokumenty\rovnost\Anal&#253;zy\2021\n&#225;bor%202020%20-%20grafy.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ices.mocr\101_Users\Users4\JonitovaB\Dokumenty\Dokumenty\rovnost\Anal&#253;zy\2019\N&#225;bor%20-%20v&#253;voj%20po&#269;t&#367;%20z&#225;jemc&#367;%20a%20uchaze&#269;&#367;%20o%20slu&#382;bu%20%20-%20vybran&#233;%20roky.xls"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cs-CZ" sz="1200"/>
              <a:t>Zahraniční operace a pozorovatelské mise</a:t>
            </a:r>
          </a:p>
          <a:p>
            <a:pPr>
              <a:defRPr sz="1200"/>
            </a:pPr>
            <a:r>
              <a:rPr lang="cs-CZ" sz="1200"/>
              <a:t>podíl vojákyň (k 31. 12.)</a:t>
            </a:r>
          </a:p>
        </c:rich>
      </c:tx>
      <c:overlay val="0"/>
      <c:spPr>
        <a:noFill/>
        <a:ln w="25400">
          <a:noFill/>
        </a:ln>
      </c:spPr>
    </c:title>
    <c:autoTitleDeleted val="0"/>
    <c:plotArea>
      <c:layout>
        <c:manualLayout>
          <c:layoutTarget val="inner"/>
          <c:xMode val="edge"/>
          <c:yMode val="edge"/>
          <c:x val="2.9797811290537834E-2"/>
          <c:y val="0.19120370370370371"/>
          <c:w val="0.94430765010305917"/>
          <c:h val="0.69281641878098577"/>
        </c:manualLayout>
      </c:layout>
      <c:barChart>
        <c:barDir val="col"/>
        <c:grouping val="clustered"/>
        <c:varyColors val="0"/>
        <c:ser>
          <c:idx val="0"/>
          <c:order val="0"/>
          <c:spPr>
            <a:solidFill>
              <a:schemeClr val="accent2"/>
            </a:solidFill>
            <a:ln>
              <a:noFill/>
            </a:ln>
            <a:effectLst/>
          </c:spPr>
          <c:invertIfNegative val="0"/>
          <c:dLbls>
            <c:spPr>
              <a:noFill/>
              <a:ln w="25400">
                <a:noFill/>
              </a:ln>
            </c:spPr>
            <c:txPr>
              <a:bodyPr rot="0" vert="horz"/>
              <a:lstStyle/>
              <a:p>
                <a:pPr>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List1!$B$79:$B$87</c:f>
              <c:strCache>
                <c:ptCount val="9"/>
                <c:pt idx="0">
                  <c:v>rok 2005      </c:v>
                </c:pt>
                <c:pt idx="1">
                  <c:v>rok 2007</c:v>
                </c:pt>
                <c:pt idx="2">
                  <c:v>rok 2009</c:v>
                </c:pt>
                <c:pt idx="3">
                  <c:v>rok 2011</c:v>
                </c:pt>
                <c:pt idx="4">
                  <c:v>rok 2013</c:v>
                </c:pt>
                <c:pt idx="5">
                  <c:v>rok 2016</c:v>
                </c:pt>
                <c:pt idx="6">
                  <c:v>rok 2018</c:v>
                </c:pt>
                <c:pt idx="7">
                  <c:v>rok 2019</c:v>
                </c:pt>
                <c:pt idx="8">
                  <c:v>rok 2020</c:v>
                </c:pt>
              </c:strCache>
            </c:strRef>
          </c:cat>
          <c:val>
            <c:numRef>
              <c:f>List1!$C$79:$C$87</c:f>
              <c:numCache>
                <c:formatCode>0.0%</c:formatCode>
                <c:ptCount val="9"/>
                <c:pt idx="0" formatCode="0%">
                  <c:v>7.0000000000000007E-2</c:v>
                </c:pt>
                <c:pt idx="1">
                  <c:v>9.8000000000000004E-2</c:v>
                </c:pt>
                <c:pt idx="2">
                  <c:v>5.8999999999999997E-2</c:v>
                </c:pt>
                <c:pt idx="3" formatCode="0%">
                  <c:v>0.06</c:v>
                </c:pt>
                <c:pt idx="4">
                  <c:v>5.5E-2</c:v>
                </c:pt>
                <c:pt idx="5" formatCode="0%">
                  <c:v>0.06</c:v>
                </c:pt>
                <c:pt idx="6" formatCode="0%">
                  <c:v>0.05</c:v>
                </c:pt>
                <c:pt idx="7" formatCode="0%">
                  <c:v>0.04</c:v>
                </c:pt>
                <c:pt idx="8" formatCode="0%">
                  <c:v>0.05</c:v>
                </c:pt>
              </c:numCache>
            </c:numRef>
          </c:val>
          <c:extLst xmlns:c16r2="http://schemas.microsoft.com/office/drawing/2015/06/chart">
            <c:ext xmlns:c16="http://schemas.microsoft.com/office/drawing/2014/chart" uri="{C3380CC4-5D6E-409C-BE32-E72D297353CC}">
              <c16:uniqueId val="{00000000-E331-455C-8DF9-BC9F0E4F1E82}"/>
            </c:ext>
          </c:extLst>
        </c:ser>
        <c:dLbls>
          <c:showLegendKey val="0"/>
          <c:showVal val="0"/>
          <c:showCatName val="0"/>
          <c:showSerName val="0"/>
          <c:showPercent val="0"/>
          <c:showBubbleSize val="0"/>
        </c:dLbls>
        <c:gapWidth val="219"/>
        <c:overlap val="-27"/>
        <c:axId val="158896512"/>
        <c:axId val="158898048"/>
      </c:barChart>
      <c:catAx>
        <c:axId val="158896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158898048"/>
        <c:crosses val="autoZero"/>
        <c:auto val="1"/>
        <c:lblAlgn val="ctr"/>
        <c:lblOffset val="100"/>
        <c:noMultiLvlLbl val="0"/>
      </c:catAx>
      <c:valAx>
        <c:axId val="158898048"/>
        <c:scaling>
          <c:orientation val="minMax"/>
        </c:scaling>
        <c:delete val="1"/>
        <c:axPos val="l"/>
        <c:numFmt formatCode="0%" sourceLinked="1"/>
        <c:majorTickMark val="out"/>
        <c:minorTickMark val="none"/>
        <c:tickLblPos val="nextTo"/>
        <c:crossAx val="158896512"/>
        <c:crosses val="autoZero"/>
        <c:crossBetween val="between"/>
      </c:valAx>
      <c:spPr>
        <a:solidFill>
          <a:schemeClr val="accent3">
            <a:lumMod val="20000"/>
            <a:lumOff val="80000"/>
          </a:schemeClr>
        </a:solidFill>
        <a:ln w="25400" cap="flat" cmpd="sng" algn="ctr">
          <a:noFill/>
          <a:prstDash val="solid"/>
        </a:ln>
        <a:effectLst/>
      </c:spPr>
    </c:plotArea>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Z uchazečů/uchazeček bylo přijato ke studiu ve </a:t>
            </a:r>
            <a:endParaRPr lang="cs-CZ" sz="800">
              <a:latin typeface="Times New Roman" panose="02020603050405020304" pitchFamily="18" charset="0"/>
              <a:cs typeface="Times New Roman" panose="02020603050405020304" pitchFamily="18" charset="0"/>
            </a:endParaRPr>
          </a:p>
          <a:p>
            <a:pPr>
              <a:defRPr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školním roce </a:t>
            </a:r>
            <a:r>
              <a:rPr lang="cs-CZ" sz="800">
                <a:latin typeface="Times New Roman" panose="02020603050405020304" pitchFamily="18" charset="0"/>
                <a:cs typeface="Times New Roman" panose="02020603050405020304" pitchFamily="18" charset="0"/>
              </a:rPr>
              <a:t>2020/2021</a:t>
            </a:r>
          </a:p>
          <a:p>
            <a:pPr>
              <a:defRPr sz="800">
                <a:latin typeface="Times New Roman" panose="02020603050405020304" pitchFamily="18" charset="0"/>
                <a:cs typeface="Times New Roman" panose="02020603050405020304" pitchFamily="18" charset="0"/>
              </a:defRPr>
            </a:pPr>
            <a:r>
              <a:rPr lang="cs-CZ" sz="800">
                <a:latin typeface="Times New Roman" panose="02020603050405020304" pitchFamily="18" charset="0"/>
                <a:cs typeface="Times New Roman" panose="02020603050405020304" pitchFamily="18" charset="0"/>
              </a:rPr>
              <a:t>(úspěšnost - Vojenské lyceum)</a:t>
            </a:r>
            <a:endParaRPr lang="en-US" sz="8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2609897379630825"/>
          <c:y val="0.23759213317513392"/>
          <c:w val="0.41244110623467151"/>
          <c:h val="0.68928513644698519"/>
        </c:manualLayout>
      </c:layout>
      <c:pieChart>
        <c:varyColors val="1"/>
        <c:ser>
          <c:idx val="0"/>
          <c:order val="0"/>
          <c:spPr>
            <a:solidFill>
              <a:schemeClr val="accent5">
                <a:lumMod val="60000"/>
                <a:lumOff val="40000"/>
              </a:schemeClr>
            </a:solidFill>
          </c:spPr>
          <c:dPt>
            <c:idx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1-E24E-4E64-A0A4-49277E03B200}"/>
              </c:ext>
            </c:extLst>
          </c:dPt>
          <c:dPt>
            <c:idx val="1"/>
            <c:bubble3D val="0"/>
            <c:extLst xmlns:c16r2="http://schemas.microsoft.com/office/drawing/2015/06/chart">
              <c:ext xmlns:c16="http://schemas.microsoft.com/office/drawing/2014/chart" uri="{C3380CC4-5D6E-409C-BE32-E72D297353CC}">
                <c16:uniqueId val="{00000002-E24E-4E64-A0A4-49277E03B200}"/>
              </c:ext>
            </c:extLst>
          </c:dPt>
          <c:dLbls>
            <c:spPr>
              <a:noFill/>
              <a:ln w="25400">
                <a:noFill/>
              </a:ln>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List1!$C$33:$C$34</c:f>
              <c:strCache>
                <c:ptCount val="2"/>
                <c:pt idx="0">
                  <c:v>muži</c:v>
                </c:pt>
                <c:pt idx="1">
                  <c:v>ženy</c:v>
                </c:pt>
              </c:strCache>
            </c:strRef>
          </c:cat>
          <c:val>
            <c:numRef>
              <c:f>List1!$D$33:$D$34</c:f>
              <c:numCache>
                <c:formatCode>0%</c:formatCode>
                <c:ptCount val="2"/>
                <c:pt idx="0">
                  <c:v>0.36</c:v>
                </c:pt>
                <c:pt idx="1">
                  <c:v>0.38</c:v>
                </c:pt>
              </c:numCache>
            </c:numRef>
          </c:val>
          <c:extLst xmlns:c16r2="http://schemas.microsoft.com/office/drawing/2015/06/chart">
            <c:ext xmlns:c16="http://schemas.microsoft.com/office/drawing/2014/chart" uri="{C3380CC4-5D6E-409C-BE32-E72D297353CC}">
              <c16:uniqueId val="{00000003-E24E-4E64-A0A4-49277E03B20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75088640235761"/>
          <c:y val="0.69012540099154274"/>
          <c:w val="0.17470053085469581"/>
          <c:h val="0.18984762321376492"/>
        </c:manualLayout>
      </c:layout>
      <c:overlay val="0"/>
    </c:legend>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cs-CZ"/>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cs-CZ" sz="800" b="1">
                <a:latin typeface="Times New Roman" panose="02020603050405020304" pitchFamily="18" charset="0"/>
                <a:cs typeface="Times New Roman" panose="02020603050405020304" pitchFamily="18" charset="0"/>
              </a:rPr>
              <a:t>Z uchazečů/uchazeček bylo přijato ke studiu</a:t>
            </a:r>
          </a:p>
          <a:p>
            <a:pPr>
              <a:defRPr sz="8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cs-CZ" sz="800" b="1">
                <a:latin typeface="Times New Roman" panose="02020603050405020304" pitchFamily="18" charset="0"/>
                <a:cs typeface="Times New Roman" panose="02020603050405020304" pitchFamily="18" charset="0"/>
              </a:rPr>
              <a:t>ve školním roce 2020/2021 </a:t>
            </a:r>
          </a:p>
          <a:p>
            <a:pPr>
              <a:defRPr sz="8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cs-CZ" sz="800" b="1">
                <a:latin typeface="Times New Roman" panose="02020603050405020304" pitchFamily="18" charset="0"/>
                <a:cs typeface="Times New Roman" panose="02020603050405020304" pitchFamily="18" charset="0"/>
              </a:rPr>
              <a:t>(úspěšnost - Vyšší odborná škola) </a:t>
            </a:r>
          </a:p>
        </c:rich>
      </c:tx>
      <c:overlay val="0"/>
      <c:spPr>
        <a:noFill/>
        <a:ln>
          <a:noFill/>
        </a:ln>
        <a:effectLst/>
      </c:spPr>
    </c:title>
    <c:autoTitleDeleted val="0"/>
    <c:plotArea>
      <c:layout>
        <c:manualLayout>
          <c:layoutTarget val="inner"/>
          <c:xMode val="edge"/>
          <c:yMode val="edge"/>
          <c:x val="0.20277522416296948"/>
          <c:y val="0.27066252068809871"/>
          <c:w val="0.43370538390822977"/>
          <c:h val="0.65304428506946188"/>
        </c:manualLayout>
      </c:layout>
      <c:pieChart>
        <c:varyColors val="1"/>
        <c:ser>
          <c:idx val="0"/>
          <c:order val="0"/>
          <c:dPt>
            <c:idx val="0"/>
            <c:bubble3D val="0"/>
            <c:spPr>
              <a:solidFill>
                <a:schemeClr val="accent6">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55E3-4EB4-90BE-E4AC18839368}"/>
              </c:ext>
            </c:extLst>
          </c:dPt>
          <c:dPt>
            <c:idx val="1"/>
            <c:bubble3D val="0"/>
            <c:spPr>
              <a:solidFill>
                <a:schemeClr val="accent6">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55E3-4EB4-90BE-E4AC18839368}"/>
              </c:ext>
            </c:extLst>
          </c:dPt>
          <c:dLbls>
            <c:dLbl>
              <c:idx val="0"/>
              <c:layout>
                <c:manualLayout>
                  <c:x val="-0.1577028125291445"/>
                  <c:y val="2.623834700088316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5E3-4EB4-90BE-E4AC18839368}"/>
                </c:ext>
              </c:extLst>
            </c:dLbl>
            <c:dLbl>
              <c:idx val="1"/>
              <c:layout>
                <c:manualLayout>
                  <c:x val="0.16540329349694233"/>
                  <c:y val="-4.49358901907596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5E3-4EB4-90BE-E4AC18839368}"/>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List1!$D$20:$D$21</c:f>
              <c:strCache>
                <c:ptCount val="2"/>
                <c:pt idx="0">
                  <c:v>muži</c:v>
                </c:pt>
                <c:pt idx="1">
                  <c:v>ženy</c:v>
                </c:pt>
              </c:strCache>
            </c:strRef>
          </c:cat>
          <c:val>
            <c:numRef>
              <c:f>List1!$E$20:$E$21</c:f>
              <c:numCache>
                <c:formatCode>0%</c:formatCode>
                <c:ptCount val="2"/>
                <c:pt idx="0">
                  <c:v>0.78</c:v>
                </c:pt>
                <c:pt idx="1">
                  <c:v>1</c:v>
                </c:pt>
              </c:numCache>
            </c:numRef>
          </c:val>
          <c:extLst xmlns:c16r2="http://schemas.microsoft.com/office/drawing/2015/06/chart">
            <c:ext xmlns:c16="http://schemas.microsoft.com/office/drawing/2014/chart" uri="{C3380CC4-5D6E-409C-BE32-E72D297353CC}">
              <c16:uniqueId val="{00000004-55E3-4EB4-90BE-E4AC1883936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7918897637795261"/>
          <c:y val="0.58391149023038791"/>
          <c:w val="0.17704211465952546"/>
          <c:h val="0.215995428801064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cs-CZ"/>
        </a:p>
      </c:txPr>
    </c:legend>
    <c:plotVisOnly val="1"/>
    <c:dispBlanksAs val="gap"/>
    <c:showDLblsOverMax val="0"/>
  </c:chart>
  <c:spPr>
    <a:solidFill>
      <a:schemeClr val="lt1"/>
    </a:solidFill>
    <a:ln w="25400" cap="flat" cmpd="sng" algn="ctr">
      <a:solidFill>
        <a:schemeClr val="accent6"/>
      </a:solidFill>
      <a:prstDash val="solid"/>
      <a:round/>
    </a:ln>
    <a:effectLst/>
  </c:spPr>
  <c:txPr>
    <a:bodyPr/>
    <a:lstStyle/>
    <a:p>
      <a:pPr>
        <a:defRPr>
          <a:solidFill>
            <a:schemeClr val="dk1"/>
          </a:solidFill>
          <a:latin typeface="+mn-lt"/>
          <a:ea typeface="+mn-ea"/>
          <a:cs typeface="+mn-cs"/>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cs-CZ" sz="1100">
                <a:latin typeface="Times New Roman" panose="02020603050405020304" pitchFamily="18" charset="0"/>
                <a:cs typeface="Times New Roman" panose="02020603050405020304" pitchFamily="18" charset="0"/>
              </a:rPr>
              <a:t>Vojáci a vojákyně v dispozici (MD,RD)</a:t>
            </a:r>
          </a:p>
          <a:p>
            <a:pPr>
              <a:defRPr sz="1100">
                <a:latin typeface="Times New Roman" panose="02020603050405020304" pitchFamily="18" charset="0"/>
                <a:cs typeface="Times New Roman" panose="02020603050405020304" pitchFamily="18" charset="0"/>
              </a:defRPr>
            </a:pPr>
            <a:r>
              <a:rPr lang="cs-CZ" sz="1100">
                <a:latin typeface="Times New Roman" panose="02020603050405020304" pitchFamily="18" charset="0"/>
                <a:cs typeface="Times New Roman" panose="02020603050405020304" pitchFamily="18" charset="0"/>
              </a:rPr>
              <a:t>(k 1. 1.)</a:t>
            </a:r>
          </a:p>
        </c:rich>
      </c:tx>
      <c:layout>
        <c:manualLayout>
          <c:xMode val="edge"/>
          <c:yMode val="edge"/>
          <c:x val="0.36410256410256414"/>
          <c:y val="6.9444444444444448E-2"/>
        </c:manualLayout>
      </c:layout>
      <c:overlay val="0"/>
    </c:title>
    <c:autoTitleDeleted val="0"/>
    <c:plotArea>
      <c:layout>
        <c:manualLayout>
          <c:layoutTarget val="inner"/>
          <c:xMode val="edge"/>
          <c:yMode val="edge"/>
          <c:x val="7.0046100006729922E-2"/>
          <c:y val="0.23334499854184892"/>
          <c:w val="0.84252456423716271"/>
          <c:h val="0.65067512394284044"/>
        </c:manualLayout>
      </c:layout>
      <c:barChart>
        <c:barDir val="col"/>
        <c:grouping val="clustered"/>
        <c:varyColors val="0"/>
        <c:ser>
          <c:idx val="0"/>
          <c:order val="0"/>
          <c:tx>
            <c:strRef>
              <c:f>'tab. VI'!$E$47</c:f>
              <c:strCache>
                <c:ptCount val="1"/>
                <c:pt idx="0">
                  <c:v>muži</c:v>
                </c:pt>
              </c:strCache>
            </c:strRef>
          </c:tx>
          <c:invertIfNegative val="0"/>
          <c:dLbls>
            <c:spPr>
              <a:noFill/>
              <a:ln w="25400">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'tab. VI'!$A$48:$D$56</c:f>
              <c:numCache>
                <c:formatCode>General</c:formatCode>
                <c:ptCount val="18"/>
                <c:pt idx="0">
                  <c:v>2005</c:v>
                </c:pt>
                <c:pt idx="1">
                  <c:v>2007</c:v>
                </c:pt>
                <c:pt idx="2">
                  <c:v>2009</c:v>
                </c:pt>
                <c:pt idx="3">
                  <c:v>2012</c:v>
                </c:pt>
                <c:pt idx="4">
                  <c:v>2014</c:v>
                </c:pt>
                <c:pt idx="5">
                  <c:v>2016</c:v>
                </c:pt>
                <c:pt idx="6">
                  <c:v>2018</c:v>
                </c:pt>
                <c:pt idx="7">
                  <c:v>2020</c:v>
                </c:pt>
                <c:pt idx="8">
                  <c:v>2021</c:v>
                </c:pt>
              </c:numCache>
            </c:numRef>
          </c:cat>
          <c:val>
            <c:numRef>
              <c:f>'tab. VI'!$E$48:$E$56</c:f>
              <c:numCache>
                <c:formatCode>General</c:formatCode>
                <c:ptCount val="9"/>
                <c:pt idx="0">
                  <c:v>7</c:v>
                </c:pt>
                <c:pt idx="1">
                  <c:v>22</c:v>
                </c:pt>
                <c:pt idx="2">
                  <c:v>43</c:v>
                </c:pt>
                <c:pt idx="3">
                  <c:v>49</c:v>
                </c:pt>
                <c:pt idx="4">
                  <c:v>33</c:v>
                </c:pt>
                <c:pt idx="5">
                  <c:v>16</c:v>
                </c:pt>
                <c:pt idx="6">
                  <c:v>14</c:v>
                </c:pt>
                <c:pt idx="7">
                  <c:v>17</c:v>
                </c:pt>
                <c:pt idx="8">
                  <c:v>19</c:v>
                </c:pt>
              </c:numCache>
            </c:numRef>
          </c:val>
          <c:extLst xmlns:c16r2="http://schemas.microsoft.com/office/drawing/2015/06/chart">
            <c:ext xmlns:c16="http://schemas.microsoft.com/office/drawing/2014/chart" uri="{C3380CC4-5D6E-409C-BE32-E72D297353CC}">
              <c16:uniqueId val="{00000000-B58E-4BEF-AC16-A389569E4FB4}"/>
            </c:ext>
          </c:extLst>
        </c:ser>
        <c:ser>
          <c:idx val="1"/>
          <c:order val="1"/>
          <c:tx>
            <c:strRef>
              <c:f>'tab. VI'!$F$47</c:f>
              <c:strCache>
                <c:ptCount val="1"/>
                <c:pt idx="0">
                  <c:v>ženy</c:v>
                </c:pt>
              </c:strCache>
            </c:strRef>
          </c:tx>
          <c:invertIfNegative val="0"/>
          <c:dLbls>
            <c:spPr>
              <a:noFill/>
              <a:ln w="25400">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'tab. VI'!$A$48:$D$56</c:f>
              <c:numCache>
                <c:formatCode>General</c:formatCode>
                <c:ptCount val="18"/>
                <c:pt idx="0">
                  <c:v>2005</c:v>
                </c:pt>
                <c:pt idx="1">
                  <c:v>2007</c:v>
                </c:pt>
                <c:pt idx="2">
                  <c:v>2009</c:v>
                </c:pt>
                <c:pt idx="3">
                  <c:v>2012</c:v>
                </c:pt>
                <c:pt idx="4">
                  <c:v>2014</c:v>
                </c:pt>
                <c:pt idx="5">
                  <c:v>2016</c:v>
                </c:pt>
                <c:pt idx="6">
                  <c:v>2018</c:v>
                </c:pt>
                <c:pt idx="7">
                  <c:v>2020</c:v>
                </c:pt>
                <c:pt idx="8">
                  <c:v>2021</c:v>
                </c:pt>
              </c:numCache>
            </c:numRef>
          </c:cat>
          <c:val>
            <c:numRef>
              <c:f>'tab. VI'!$F$48:$F$56</c:f>
              <c:numCache>
                <c:formatCode>General</c:formatCode>
                <c:ptCount val="9"/>
                <c:pt idx="0">
                  <c:v>163</c:v>
                </c:pt>
                <c:pt idx="1">
                  <c:v>356</c:v>
                </c:pt>
                <c:pt idx="2">
                  <c:v>450</c:v>
                </c:pt>
                <c:pt idx="3">
                  <c:v>500</c:v>
                </c:pt>
                <c:pt idx="4">
                  <c:v>385</c:v>
                </c:pt>
                <c:pt idx="5">
                  <c:v>393</c:v>
                </c:pt>
                <c:pt idx="6">
                  <c:v>348</c:v>
                </c:pt>
                <c:pt idx="7">
                  <c:v>315</c:v>
                </c:pt>
                <c:pt idx="8">
                  <c:v>330</c:v>
                </c:pt>
              </c:numCache>
            </c:numRef>
          </c:val>
          <c:extLst xmlns:c16r2="http://schemas.microsoft.com/office/drawing/2015/06/chart">
            <c:ext xmlns:c16="http://schemas.microsoft.com/office/drawing/2014/chart" uri="{C3380CC4-5D6E-409C-BE32-E72D297353CC}">
              <c16:uniqueId val="{00000001-B58E-4BEF-AC16-A389569E4FB4}"/>
            </c:ext>
          </c:extLst>
        </c:ser>
        <c:dLbls>
          <c:showLegendKey val="0"/>
          <c:showVal val="0"/>
          <c:showCatName val="0"/>
          <c:showSerName val="0"/>
          <c:showPercent val="0"/>
          <c:showBubbleSize val="0"/>
        </c:dLbls>
        <c:gapWidth val="150"/>
        <c:axId val="161239808"/>
        <c:axId val="161241344"/>
      </c:barChart>
      <c:catAx>
        <c:axId val="161239808"/>
        <c:scaling>
          <c:orientation val="minMax"/>
        </c:scaling>
        <c:delete val="0"/>
        <c:axPos val="b"/>
        <c:numFmt formatCode="General" sourceLinked="1"/>
        <c:majorTickMark val="out"/>
        <c:minorTickMark val="none"/>
        <c:tickLblPos val="nextTo"/>
        <c:crossAx val="161241344"/>
        <c:crosses val="autoZero"/>
        <c:auto val="1"/>
        <c:lblAlgn val="ctr"/>
        <c:lblOffset val="100"/>
        <c:noMultiLvlLbl val="0"/>
      </c:catAx>
      <c:valAx>
        <c:axId val="161241344"/>
        <c:scaling>
          <c:orientation val="minMax"/>
        </c:scaling>
        <c:delete val="1"/>
        <c:axPos val="l"/>
        <c:numFmt formatCode="General" sourceLinked="1"/>
        <c:majorTickMark val="out"/>
        <c:minorTickMark val="none"/>
        <c:tickLblPos val="nextTo"/>
        <c:crossAx val="161239808"/>
        <c:crosses val="autoZero"/>
        <c:crossBetween val="between"/>
      </c:valAx>
      <c:spPr>
        <a:solidFill>
          <a:schemeClr val="bg2"/>
        </a:solidFill>
      </c:spPr>
    </c:plotArea>
    <c:legend>
      <c:legendPos val="r"/>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00" b="1"/>
              <a:t>Rozdíl v průměrném platu žen proti mužům</a:t>
            </a:r>
          </a:p>
          <a:p>
            <a:pPr>
              <a:defRPr sz="1400" b="0" i="0" u="none" strike="noStrike" kern="1200" spc="0" baseline="0">
                <a:solidFill>
                  <a:schemeClr val="tx1">
                    <a:lumMod val="65000"/>
                    <a:lumOff val="35000"/>
                  </a:schemeClr>
                </a:solidFill>
                <a:latin typeface="+mn-lt"/>
                <a:ea typeface="+mn-ea"/>
                <a:cs typeface="+mn-cs"/>
              </a:defRPr>
            </a:pPr>
            <a:r>
              <a:rPr lang="cs-CZ" sz="1000" b="1"/>
              <a:t>(vybrané roky</a:t>
            </a:r>
            <a:r>
              <a:rPr lang="cs-CZ"/>
              <a:t>)</a:t>
            </a:r>
          </a:p>
        </c:rich>
      </c:tx>
      <c:overlay val="0"/>
      <c:spPr>
        <a:noFill/>
        <a:ln w="25400">
          <a:noFill/>
        </a:ln>
      </c:spPr>
    </c:title>
    <c:autoTitleDeleted val="0"/>
    <c:plotArea>
      <c:layout/>
      <c:bar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List1!$C$5:$C$11</c:f>
              <c:strCache>
                <c:ptCount val="7"/>
                <c:pt idx="0">
                  <c:v>leden-prosinec 2002</c:v>
                </c:pt>
                <c:pt idx="1">
                  <c:v>leden-prosinec 2005</c:v>
                </c:pt>
                <c:pt idx="2">
                  <c:v>leden-prosinec 2009</c:v>
                </c:pt>
                <c:pt idx="3">
                  <c:v>leden-prosinec 2011</c:v>
                </c:pt>
                <c:pt idx="4">
                  <c:v>leden-prosinec 2017</c:v>
                </c:pt>
                <c:pt idx="5">
                  <c:v>leden-prosince 2019</c:v>
                </c:pt>
                <c:pt idx="6">
                  <c:v>leden-prosince 2020</c:v>
                </c:pt>
              </c:strCache>
            </c:strRef>
          </c:cat>
          <c:val>
            <c:numRef>
              <c:f>List1!$D$5:$D$11</c:f>
              <c:numCache>
                <c:formatCode>General</c:formatCode>
                <c:ptCount val="7"/>
              </c:numCache>
            </c:numRef>
          </c:val>
          <c:extLst xmlns:c16r2="http://schemas.microsoft.com/office/drawing/2015/06/chart">
            <c:ext xmlns:c16="http://schemas.microsoft.com/office/drawing/2014/chart" uri="{C3380CC4-5D6E-409C-BE32-E72D297353CC}">
              <c16:uniqueId val="{00000000-DF82-4CF1-8432-470FCA1FDD10}"/>
            </c:ext>
          </c:extLst>
        </c:ser>
        <c:ser>
          <c:idx val="1"/>
          <c:order val="1"/>
          <c:spPr>
            <a:solidFill>
              <a:schemeClr val="accent3">
                <a:lumMod val="75000"/>
              </a:schemeClr>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List1!$C$5:$C$11</c:f>
              <c:strCache>
                <c:ptCount val="7"/>
                <c:pt idx="0">
                  <c:v>leden-prosinec 2002</c:v>
                </c:pt>
                <c:pt idx="1">
                  <c:v>leden-prosinec 2005</c:v>
                </c:pt>
                <c:pt idx="2">
                  <c:v>leden-prosinec 2009</c:v>
                </c:pt>
                <c:pt idx="3">
                  <c:v>leden-prosinec 2011</c:v>
                </c:pt>
                <c:pt idx="4">
                  <c:v>leden-prosinec 2017</c:v>
                </c:pt>
                <c:pt idx="5">
                  <c:v>leden-prosince 2019</c:v>
                </c:pt>
                <c:pt idx="6">
                  <c:v>leden-prosince 2020</c:v>
                </c:pt>
              </c:strCache>
            </c:strRef>
          </c:cat>
          <c:val>
            <c:numRef>
              <c:f>List1!$E$5:$E$11</c:f>
              <c:numCache>
                <c:formatCode>#,##0</c:formatCode>
                <c:ptCount val="7"/>
                <c:pt idx="0">
                  <c:v>4797</c:v>
                </c:pt>
                <c:pt idx="1">
                  <c:v>3340</c:v>
                </c:pt>
                <c:pt idx="2">
                  <c:v>2016</c:v>
                </c:pt>
                <c:pt idx="3">
                  <c:v>1539</c:v>
                </c:pt>
                <c:pt idx="4">
                  <c:v>979</c:v>
                </c:pt>
                <c:pt idx="5">
                  <c:v>1311</c:v>
                </c:pt>
                <c:pt idx="6">
                  <c:v>1319</c:v>
                </c:pt>
              </c:numCache>
            </c:numRef>
          </c:val>
          <c:extLst xmlns:c16r2="http://schemas.microsoft.com/office/drawing/2015/06/chart">
            <c:ext xmlns:c16="http://schemas.microsoft.com/office/drawing/2014/chart" uri="{C3380CC4-5D6E-409C-BE32-E72D297353CC}">
              <c16:uniqueId val="{00000001-DF82-4CF1-8432-470FCA1FDD10}"/>
            </c:ext>
          </c:extLst>
        </c:ser>
        <c:dLbls>
          <c:showLegendKey val="0"/>
          <c:showVal val="0"/>
          <c:showCatName val="0"/>
          <c:showSerName val="0"/>
          <c:showPercent val="0"/>
          <c:showBubbleSize val="0"/>
        </c:dLbls>
        <c:gapWidth val="219"/>
        <c:overlap val="-27"/>
        <c:axId val="161825920"/>
        <c:axId val="161827456"/>
      </c:barChart>
      <c:catAx>
        <c:axId val="161825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1827456"/>
        <c:crosses val="autoZero"/>
        <c:auto val="1"/>
        <c:lblAlgn val="ctr"/>
        <c:lblOffset val="100"/>
        <c:noMultiLvlLbl val="0"/>
      </c:catAx>
      <c:valAx>
        <c:axId val="161827456"/>
        <c:scaling>
          <c:orientation val="minMax"/>
        </c:scaling>
        <c:delete val="1"/>
        <c:axPos val="l"/>
        <c:numFmt formatCode="General" sourceLinked="1"/>
        <c:majorTickMark val="out"/>
        <c:minorTickMark val="none"/>
        <c:tickLblPos val="nextTo"/>
        <c:crossAx val="161825920"/>
        <c:crosses val="autoZero"/>
        <c:crossBetween val="between"/>
      </c:valAx>
      <c:spPr>
        <a:solidFill>
          <a:schemeClr val="lt1"/>
        </a:solidFill>
        <a:ln w="25400" cap="flat" cmpd="sng" algn="ctr">
          <a:solidFill>
            <a:schemeClr val="accent3"/>
          </a:solidFill>
          <a:prstDash val="solid"/>
        </a:ln>
        <a:effectLst/>
      </c:spPr>
    </c:plotArea>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dk1"/>
                </a:solidFill>
                <a:latin typeface="+mn-lt"/>
                <a:ea typeface="+mn-ea"/>
                <a:cs typeface="+mn-cs"/>
              </a:defRPr>
            </a:pPr>
            <a:r>
              <a:rPr lang="cs-CZ" sz="1000"/>
              <a:t>Podíl žen na celkvém počtu osob na zahraničních pracovištích</a:t>
            </a:r>
          </a:p>
          <a:p>
            <a:pPr>
              <a:defRPr sz="1000" b="0" i="0" u="none" strike="noStrike" kern="1200" spc="0" baseline="0">
                <a:solidFill>
                  <a:schemeClr val="dk1"/>
                </a:solidFill>
                <a:latin typeface="+mn-lt"/>
                <a:ea typeface="+mn-ea"/>
                <a:cs typeface="+mn-cs"/>
              </a:defRPr>
            </a:pPr>
            <a:r>
              <a:rPr lang="cs-CZ" sz="1000"/>
              <a:t> (stav k 31. 12.)</a:t>
            </a:r>
          </a:p>
        </c:rich>
      </c:tx>
      <c:overlay val="0"/>
      <c:spPr>
        <a:noFill/>
        <a:ln w="25400">
          <a:noFill/>
        </a:ln>
      </c:spPr>
    </c:title>
    <c:autoTitleDeleted val="0"/>
    <c:plotArea>
      <c:layout/>
      <c:bar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List1!$B$28:$B$38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List1!$C$28:$C$38</c:f>
              <c:numCache>
                <c:formatCode>0%</c:formatCode>
                <c:ptCount val="11"/>
                <c:pt idx="0">
                  <c:v>0.06</c:v>
                </c:pt>
                <c:pt idx="1">
                  <c:v>0.04</c:v>
                </c:pt>
                <c:pt idx="2">
                  <c:v>0.08</c:v>
                </c:pt>
                <c:pt idx="3">
                  <c:v>7.0000000000000007E-2</c:v>
                </c:pt>
                <c:pt idx="4">
                  <c:v>7.0000000000000007E-2</c:v>
                </c:pt>
                <c:pt idx="5">
                  <c:v>0.09</c:v>
                </c:pt>
                <c:pt idx="6">
                  <c:v>0.08</c:v>
                </c:pt>
                <c:pt idx="7">
                  <c:v>0.08</c:v>
                </c:pt>
                <c:pt idx="8">
                  <c:v>7.0000000000000007E-2</c:v>
                </c:pt>
                <c:pt idx="9">
                  <c:v>0.1</c:v>
                </c:pt>
                <c:pt idx="10">
                  <c:v>0.12</c:v>
                </c:pt>
              </c:numCache>
            </c:numRef>
          </c:val>
          <c:extLst xmlns:c16r2="http://schemas.microsoft.com/office/drawing/2015/06/chart">
            <c:ext xmlns:c16="http://schemas.microsoft.com/office/drawing/2014/chart" uri="{C3380CC4-5D6E-409C-BE32-E72D297353CC}">
              <c16:uniqueId val="{00000000-7CE6-48D6-9EE3-1941F4A03879}"/>
            </c:ext>
          </c:extLst>
        </c:ser>
        <c:dLbls>
          <c:showLegendKey val="0"/>
          <c:showVal val="0"/>
          <c:showCatName val="0"/>
          <c:showSerName val="0"/>
          <c:showPercent val="0"/>
          <c:showBubbleSize val="0"/>
        </c:dLbls>
        <c:gapWidth val="219"/>
        <c:overlap val="-27"/>
        <c:axId val="160200576"/>
        <c:axId val="160202112"/>
      </c:barChart>
      <c:catAx>
        <c:axId val="1602005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crossAx val="160202112"/>
        <c:crosses val="autoZero"/>
        <c:auto val="1"/>
        <c:lblAlgn val="ctr"/>
        <c:lblOffset val="100"/>
        <c:noMultiLvlLbl val="0"/>
      </c:catAx>
      <c:valAx>
        <c:axId val="160202112"/>
        <c:scaling>
          <c:orientation val="minMax"/>
        </c:scaling>
        <c:delete val="0"/>
        <c:axPos val="l"/>
        <c:numFmt formatCode="0%" sourceLinked="1"/>
        <c:majorTickMark val="out"/>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crossAx val="160200576"/>
        <c:crosses val="autoZero"/>
        <c:crossBetween val="between"/>
      </c:valAx>
      <c:spPr>
        <a:solidFill>
          <a:schemeClr val="accent1">
            <a:lumMod val="20000"/>
            <a:lumOff val="80000"/>
          </a:schemeClr>
        </a:solidFill>
        <a:ln>
          <a:noFill/>
        </a:ln>
        <a:effectLst/>
      </c:spPr>
    </c:plotArea>
    <c:plotVisOnly val="1"/>
    <c:dispBlanksAs val="gap"/>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00" b="1"/>
              <a:t>Podíl žen vyslaných na zahraniční pracoviště</a:t>
            </a:r>
            <a:endParaRPr lang="cs-CZ" b="1"/>
          </a:p>
        </c:rich>
      </c:tx>
      <c:overlay val="0"/>
      <c:spPr>
        <a:noFill/>
        <a:ln w="25400">
          <a:noFill/>
        </a:ln>
      </c:spPr>
    </c:title>
    <c:autoTitleDeleted val="0"/>
    <c:plotArea>
      <c:layout>
        <c:manualLayout>
          <c:layoutTarget val="inner"/>
          <c:xMode val="edge"/>
          <c:yMode val="edge"/>
          <c:x val="3.7233814523184611E-2"/>
          <c:y val="0.18097222222222226"/>
          <c:w val="0.96276618547681536"/>
          <c:h val="0.56348024205307667"/>
        </c:manualLayout>
      </c:layout>
      <c:barChart>
        <c:barDir val="col"/>
        <c:grouping val="clustered"/>
        <c:varyColors val="0"/>
        <c:ser>
          <c:idx val="0"/>
          <c:order val="0"/>
          <c:spPr>
            <a:solidFill>
              <a:srgbClr val="4F81BD"/>
            </a:solidFill>
            <a:ln w="25400">
              <a:noFill/>
            </a:ln>
          </c:spPr>
          <c:invertIfNegative val="0"/>
          <c:dLbls>
            <c:dLbl>
              <c:idx val="2"/>
              <c:layout>
                <c:manualLayout>
                  <c:x val="-1.0185067526415994E-16"/>
                  <c:y val="2.314814814814816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38E-4E81-8A0C-ED49A439BD07}"/>
                </c:ext>
              </c:extLst>
            </c:dLbl>
            <c:dLbl>
              <c:idx val="4"/>
              <c:layout>
                <c:manualLayout>
                  <c:x val="0"/>
                  <c:y val="2.314814814814814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38E-4E81-8A0C-ED49A439BD07}"/>
                </c:ext>
              </c:extLst>
            </c:dLbl>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List1!$B$4:$B$8</c:f>
              <c:strCache>
                <c:ptCount val="5"/>
                <c:pt idx="0">
                  <c:v>v roce 2016 </c:v>
                </c:pt>
                <c:pt idx="1">
                  <c:v>v roce 2017</c:v>
                </c:pt>
                <c:pt idx="2">
                  <c:v>v roce 2018</c:v>
                </c:pt>
                <c:pt idx="3">
                  <c:v>v roce 2019</c:v>
                </c:pt>
                <c:pt idx="4">
                  <c:v>v roce 2020 </c:v>
                </c:pt>
              </c:strCache>
            </c:strRef>
          </c:cat>
          <c:val>
            <c:numRef>
              <c:f>List1!$C$4:$C$8</c:f>
              <c:numCache>
                <c:formatCode>0%</c:formatCode>
                <c:ptCount val="5"/>
                <c:pt idx="0">
                  <c:v>0.01</c:v>
                </c:pt>
                <c:pt idx="1">
                  <c:v>7.0000000000000007E-2</c:v>
                </c:pt>
                <c:pt idx="2">
                  <c:v>0.15</c:v>
                </c:pt>
                <c:pt idx="3">
                  <c:v>0.11</c:v>
                </c:pt>
                <c:pt idx="4">
                  <c:v>0.14000000000000001</c:v>
                </c:pt>
              </c:numCache>
            </c:numRef>
          </c:val>
          <c:extLst xmlns:c16r2="http://schemas.microsoft.com/office/drawing/2015/06/chart">
            <c:ext xmlns:c16="http://schemas.microsoft.com/office/drawing/2014/chart" uri="{C3380CC4-5D6E-409C-BE32-E72D297353CC}">
              <c16:uniqueId val="{00000002-138E-4E81-8A0C-ED49A439BD07}"/>
            </c:ext>
          </c:extLst>
        </c:ser>
        <c:dLbls>
          <c:showLegendKey val="0"/>
          <c:showVal val="0"/>
          <c:showCatName val="0"/>
          <c:showSerName val="0"/>
          <c:showPercent val="0"/>
          <c:showBubbleSize val="0"/>
        </c:dLbls>
        <c:gapWidth val="219"/>
        <c:overlap val="-27"/>
        <c:axId val="160609408"/>
        <c:axId val="160610944"/>
      </c:barChart>
      <c:catAx>
        <c:axId val="16060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0610944"/>
        <c:crosses val="autoZero"/>
        <c:auto val="1"/>
        <c:lblAlgn val="ctr"/>
        <c:lblOffset val="100"/>
        <c:noMultiLvlLbl val="0"/>
      </c:catAx>
      <c:valAx>
        <c:axId val="160610944"/>
        <c:scaling>
          <c:orientation val="minMax"/>
        </c:scaling>
        <c:delete val="1"/>
        <c:axPos val="l"/>
        <c:numFmt formatCode="0%" sourceLinked="1"/>
        <c:majorTickMark val="out"/>
        <c:minorTickMark val="none"/>
        <c:tickLblPos val="nextTo"/>
        <c:crossAx val="160609408"/>
        <c:crosses val="autoZero"/>
        <c:crossBetween val="between"/>
      </c:valAx>
      <c:spPr>
        <a:noFill/>
        <a:ln w="25400">
          <a:noFill/>
        </a:ln>
      </c:spPr>
    </c:plotArea>
    <c:plotVisOnly val="1"/>
    <c:dispBlanksAs val="gap"/>
    <c:showDLblsOverMax val="0"/>
  </c:chart>
  <c:spPr>
    <a:solidFill>
      <a:schemeClr val="bg1"/>
    </a:solidFill>
    <a:ln w="19050" cap="flat" cmpd="sng" algn="ctr">
      <a:solidFill>
        <a:schemeClr val="tx2">
          <a:lumMod val="60000"/>
          <a:lumOff val="40000"/>
        </a:schemeClr>
      </a:solidFill>
      <a:round/>
    </a:ln>
    <a:effectLst/>
  </c:spPr>
  <c:txPr>
    <a:bodyPr/>
    <a:lstStyle/>
    <a:p>
      <a:pPr>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cs-CZ" sz="1100">
                <a:latin typeface="Times New Roman" panose="02020603050405020304" pitchFamily="18" charset="0"/>
                <a:cs typeface="Times New Roman" panose="02020603050405020304" pitchFamily="18" charset="0"/>
              </a:rPr>
              <a:t>Vývoj počtu vojákyň - vybrané roky (k 1. 1.)</a:t>
            </a:r>
          </a:p>
        </c:rich>
      </c:tx>
      <c:overlay val="0"/>
      <c:spPr>
        <a:noFill/>
        <a:ln>
          <a:noFill/>
        </a:ln>
        <a:effectLst/>
      </c:spPr>
    </c:title>
    <c:autoTitleDeleted val="0"/>
    <c:plotArea>
      <c:layout/>
      <c:barChart>
        <c:barDir val="col"/>
        <c:grouping val="clustered"/>
        <c:varyColors val="0"/>
        <c:ser>
          <c:idx val="0"/>
          <c:order val="0"/>
          <c:tx>
            <c:strRef>
              <c:f>List1!$B$6</c:f>
              <c:strCache>
                <c:ptCount val="1"/>
                <c:pt idx="0">
                  <c:v>VZP-celkem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List1!$A$7:$A$18</c:f>
              <c:strCache>
                <c:ptCount val="12"/>
                <c:pt idx="0">
                  <c:v>1999 7,4%</c:v>
                </c:pt>
                <c:pt idx="1">
                  <c:v>2001 8,2%</c:v>
                </c:pt>
                <c:pt idx="2">
                  <c:v>2003 10,7%</c:v>
                </c:pt>
                <c:pt idx="3">
                  <c:v>2005 12,2%</c:v>
                </c:pt>
                <c:pt idx="4">
                  <c:v>2007 12,4%</c:v>
                </c:pt>
                <c:pt idx="5">
                  <c:v>2009   13%</c:v>
                </c:pt>
                <c:pt idx="6">
                  <c:v>2011  13,6%</c:v>
                </c:pt>
                <c:pt idx="7">
                  <c:v>2013 13,7%</c:v>
                </c:pt>
                <c:pt idx="8">
                  <c:v>2016 13,1%</c:v>
                </c:pt>
                <c:pt idx="9">
                  <c:v>2018 13%</c:v>
                </c:pt>
                <c:pt idx="10">
                  <c:v>2020 13%</c:v>
                </c:pt>
                <c:pt idx="11">
                  <c:v>2021 13,4%</c:v>
                </c:pt>
              </c:strCache>
            </c:strRef>
          </c:cat>
          <c:val>
            <c:numRef>
              <c:f>List1!$B$7:$B$18</c:f>
              <c:numCache>
                <c:formatCode>General</c:formatCode>
                <c:ptCount val="12"/>
                <c:pt idx="0">
                  <c:v>22966</c:v>
                </c:pt>
                <c:pt idx="1">
                  <c:v>21993</c:v>
                </c:pt>
                <c:pt idx="2">
                  <c:v>21247</c:v>
                </c:pt>
                <c:pt idx="3">
                  <c:v>22811</c:v>
                </c:pt>
                <c:pt idx="4">
                  <c:v>24229</c:v>
                </c:pt>
                <c:pt idx="5">
                  <c:v>24103</c:v>
                </c:pt>
                <c:pt idx="6">
                  <c:v>21751</c:v>
                </c:pt>
                <c:pt idx="7">
                  <c:v>21733</c:v>
                </c:pt>
                <c:pt idx="8">
                  <c:v>21970</c:v>
                </c:pt>
                <c:pt idx="9">
                  <c:v>24521</c:v>
                </c:pt>
                <c:pt idx="10">
                  <c:v>25899</c:v>
                </c:pt>
                <c:pt idx="11">
                  <c:v>26621</c:v>
                </c:pt>
              </c:numCache>
            </c:numRef>
          </c:val>
          <c:extLst xmlns:c16r2="http://schemas.microsoft.com/office/drawing/2015/06/chart">
            <c:ext xmlns:c16="http://schemas.microsoft.com/office/drawing/2014/chart" uri="{C3380CC4-5D6E-409C-BE32-E72D297353CC}">
              <c16:uniqueId val="{00000000-6323-4664-B506-F3B5A4CD2C1C}"/>
            </c:ext>
          </c:extLst>
        </c:ser>
        <c:ser>
          <c:idx val="1"/>
          <c:order val="1"/>
          <c:tx>
            <c:strRef>
              <c:f>List1!$C$6</c:f>
              <c:strCache>
                <c:ptCount val="1"/>
                <c:pt idx="0">
                  <c:v>z toho vojákyně</c:v>
                </c:pt>
              </c:strCache>
            </c:strRef>
          </c:tx>
          <c:spPr>
            <a:solidFill>
              <a:schemeClr val="accent2"/>
            </a:solidFill>
            <a:ln>
              <a:noFill/>
            </a:ln>
            <a:effectLst/>
          </c:spPr>
          <c:invertIfNegative val="0"/>
          <c:dLbls>
            <c:dLbl>
              <c:idx val="0"/>
              <c:layout>
                <c:manualLayout>
                  <c:x val="8.6244070720137983E-3"/>
                  <c:y val="4.629629629629629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323-4664-B506-F3B5A4CD2C1C}"/>
                </c:ext>
              </c:extLst>
            </c:dLbl>
            <c:dLbl>
              <c:idx val="1"/>
              <c:layout>
                <c:manualLayout>
                  <c:x val="1.5092712376024128E-2"/>
                  <c:y val="-8.4875562720133283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323-4664-B506-F3B5A4CD2C1C}"/>
                </c:ext>
              </c:extLst>
            </c:dLbl>
            <c:dLbl>
              <c:idx val="2"/>
              <c:layout>
                <c:manualLayout>
                  <c:x val="1.2936610608020699E-2"/>
                  <c:y val="1.388888888888888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323-4664-B506-F3B5A4CD2C1C}"/>
                </c:ext>
              </c:extLst>
            </c:dLbl>
            <c:dLbl>
              <c:idx val="3"/>
              <c:layout>
                <c:manualLayout>
                  <c:x val="2.1561017680034458E-2"/>
                  <c:y val="4.629629629629629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6323-4664-B506-F3B5A4CD2C1C}"/>
                </c:ext>
              </c:extLst>
            </c:dLbl>
            <c:dLbl>
              <c:idx val="4"/>
              <c:layout>
                <c:manualLayout>
                  <c:x val="1.940491591203097E-2"/>
                  <c:y val="4.629629629629544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6323-4664-B506-F3B5A4CD2C1C}"/>
                </c:ext>
              </c:extLst>
            </c:dLbl>
            <c:dLbl>
              <c:idx val="5"/>
              <c:layout>
                <c:manualLayout>
                  <c:x val="2.1561017680034499E-2"/>
                  <c:y val="9.2592592592592587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6323-4664-B506-F3B5A4CD2C1C}"/>
                </c:ext>
              </c:extLst>
            </c:dLbl>
            <c:dLbl>
              <c:idx val="6"/>
              <c:layout>
                <c:manualLayout>
                  <c:x val="2.1561017680034499E-2"/>
                  <c:y val="4.629629629629544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6323-4664-B506-F3B5A4CD2C1C}"/>
                </c:ext>
              </c:extLst>
            </c:dLbl>
            <c:dLbl>
              <c:idx val="7"/>
              <c:layout>
                <c:manualLayout>
                  <c:x val="1.9404915912031046E-2"/>
                  <c:y val="-8.4875562720133283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6323-4664-B506-F3B5A4CD2C1C}"/>
                </c:ext>
              </c:extLst>
            </c:dLbl>
            <c:dLbl>
              <c:idx val="8"/>
              <c:layout>
                <c:manualLayout>
                  <c:x val="1.5092712376024069E-2"/>
                  <c:y val="-8.4875562720133283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6323-4664-B506-F3B5A4CD2C1C}"/>
                </c:ext>
              </c:extLst>
            </c:dLbl>
            <c:dLbl>
              <c:idx val="9"/>
              <c:layout>
                <c:manualLayout>
                  <c:x val="1.7248814144027597E-2"/>
                  <c:y val="4.629629629629629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6323-4664-B506-F3B5A4CD2C1C}"/>
                </c:ext>
              </c:extLst>
            </c:dLbl>
            <c:dLbl>
              <c:idx val="10"/>
              <c:layout>
                <c:manualLayout>
                  <c:x val="1.9404915912031046E-2"/>
                  <c:y val="-8.4875562720133283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6323-4664-B506-F3B5A4CD2C1C}"/>
                </c:ext>
              </c:extLst>
            </c:dLbl>
            <c:dLbl>
              <c:idx val="11"/>
              <c:layout>
                <c:manualLayout>
                  <c:x val="1.5092712376023991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6323-4664-B506-F3B5A4CD2C1C}"/>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List1!$A$7:$A$18</c:f>
              <c:strCache>
                <c:ptCount val="12"/>
                <c:pt idx="0">
                  <c:v>1999 7,4%</c:v>
                </c:pt>
                <c:pt idx="1">
                  <c:v>2001 8,2%</c:v>
                </c:pt>
                <c:pt idx="2">
                  <c:v>2003 10,7%</c:v>
                </c:pt>
                <c:pt idx="3">
                  <c:v>2005 12,2%</c:v>
                </c:pt>
                <c:pt idx="4">
                  <c:v>2007 12,4%</c:v>
                </c:pt>
                <c:pt idx="5">
                  <c:v>2009   13%</c:v>
                </c:pt>
                <c:pt idx="6">
                  <c:v>2011  13,6%</c:v>
                </c:pt>
                <c:pt idx="7">
                  <c:v>2013 13,7%</c:v>
                </c:pt>
                <c:pt idx="8">
                  <c:v>2016 13,1%</c:v>
                </c:pt>
                <c:pt idx="9">
                  <c:v>2018 13%</c:v>
                </c:pt>
                <c:pt idx="10">
                  <c:v>2020 13%</c:v>
                </c:pt>
                <c:pt idx="11">
                  <c:v>2021 13,4%</c:v>
                </c:pt>
              </c:strCache>
            </c:strRef>
          </c:cat>
          <c:val>
            <c:numRef>
              <c:f>List1!$C$7:$C$18</c:f>
              <c:numCache>
                <c:formatCode>General</c:formatCode>
                <c:ptCount val="12"/>
                <c:pt idx="0">
                  <c:v>1695</c:v>
                </c:pt>
                <c:pt idx="1">
                  <c:v>1918</c:v>
                </c:pt>
                <c:pt idx="2">
                  <c:v>2277</c:v>
                </c:pt>
                <c:pt idx="3">
                  <c:v>2786</c:v>
                </c:pt>
                <c:pt idx="4">
                  <c:v>3001</c:v>
                </c:pt>
                <c:pt idx="5">
                  <c:v>3141</c:v>
                </c:pt>
                <c:pt idx="6">
                  <c:v>3024</c:v>
                </c:pt>
                <c:pt idx="7">
                  <c:v>2987</c:v>
                </c:pt>
                <c:pt idx="8">
                  <c:v>2874</c:v>
                </c:pt>
                <c:pt idx="9">
                  <c:v>3088</c:v>
                </c:pt>
                <c:pt idx="10">
                  <c:v>3357</c:v>
                </c:pt>
                <c:pt idx="11">
                  <c:v>3563</c:v>
                </c:pt>
              </c:numCache>
            </c:numRef>
          </c:val>
          <c:extLst xmlns:c16r2="http://schemas.microsoft.com/office/drawing/2015/06/chart">
            <c:ext xmlns:c16="http://schemas.microsoft.com/office/drawing/2014/chart" uri="{C3380CC4-5D6E-409C-BE32-E72D297353CC}">
              <c16:uniqueId val="{0000000D-6323-4664-B506-F3B5A4CD2C1C}"/>
            </c:ext>
          </c:extLst>
        </c:ser>
        <c:dLbls>
          <c:showLegendKey val="0"/>
          <c:showVal val="0"/>
          <c:showCatName val="0"/>
          <c:showSerName val="0"/>
          <c:showPercent val="0"/>
          <c:showBubbleSize val="0"/>
        </c:dLbls>
        <c:gapWidth val="219"/>
        <c:overlap val="-27"/>
        <c:axId val="160384512"/>
        <c:axId val="160386048"/>
      </c:barChart>
      <c:catAx>
        <c:axId val="160384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crossAx val="160386048"/>
        <c:crosses val="autoZero"/>
        <c:auto val="1"/>
        <c:lblAlgn val="ctr"/>
        <c:lblOffset val="100"/>
        <c:noMultiLvlLbl val="0"/>
      </c:catAx>
      <c:valAx>
        <c:axId val="160386048"/>
        <c:scaling>
          <c:orientation val="minMax"/>
        </c:scaling>
        <c:delete val="1"/>
        <c:axPos val="l"/>
        <c:numFmt formatCode="General" sourceLinked="1"/>
        <c:majorTickMark val="out"/>
        <c:minorTickMark val="none"/>
        <c:tickLblPos val="nextTo"/>
        <c:crossAx val="160384512"/>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legend>
    <c:plotVisOnly val="1"/>
    <c:dispBlanksAs val="gap"/>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100">
                <a:latin typeface="Times New Roman" panose="02020603050405020304" pitchFamily="18" charset="0"/>
                <a:cs typeface="Times New Roman" panose="02020603050405020304" pitchFamily="18" charset="0"/>
              </a:defRPr>
            </a:pPr>
            <a:r>
              <a:rPr lang="cs-CZ" sz="1100">
                <a:latin typeface="Times New Roman" panose="02020603050405020304" pitchFamily="18" charset="0"/>
                <a:cs typeface="Times New Roman" panose="02020603050405020304" pitchFamily="18" charset="0"/>
              </a:rPr>
              <a:t>Vývoj počtů vojáků a vojákyň (k 1. 1.)</a:t>
            </a:r>
          </a:p>
        </c:rich>
      </c:tx>
      <c:overlay val="0"/>
      <c:spPr>
        <a:noFill/>
        <a:ln w="25400">
          <a:noFill/>
        </a:ln>
      </c:spPr>
    </c:title>
    <c:autoTitleDeleted val="0"/>
    <c:plotArea>
      <c:layout>
        <c:manualLayout>
          <c:layoutTarget val="inner"/>
          <c:xMode val="edge"/>
          <c:yMode val="edge"/>
          <c:x val="3.1007751937984496E-2"/>
          <c:y val="0.12030110819480898"/>
          <c:w val="0.9431524547803618"/>
          <c:h val="0.77842519685039369"/>
        </c:manualLayout>
      </c:layout>
      <c:lineChart>
        <c:grouping val="standard"/>
        <c:varyColors val="0"/>
        <c:ser>
          <c:idx val="0"/>
          <c:order val="0"/>
          <c:tx>
            <c:strRef>
              <c:f>List1!$B$26</c:f>
              <c:strCache>
                <c:ptCount val="1"/>
                <c:pt idx="0">
                  <c:v>vojáci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vert="horz"/>
              <a:lstStyle/>
              <a:p>
                <a:pPr>
                  <a:defRPr/>
                </a:pPr>
                <a:endParaRPr lang="cs-CZ"/>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List1!$A$27:$A$40</c:f>
              <c:strCache>
                <c:ptCount val="14"/>
                <c:pt idx="0">
                  <c:v>1999   </c:v>
                </c:pt>
                <c:pt idx="1">
                  <c:v>2001   </c:v>
                </c:pt>
                <c:pt idx="2">
                  <c:v>2003  </c:v>
                </c:pt>
                <c:pt idx="3">
                  <c:v>2005   </c:v>
                </c:pt>
                <c:pt idx="4">
                  <c:v>2007   </c:v>
                </c:pt>
                <c:pt idx="5">
                  <c:v>2009   </c:v>
                </c:pt>
                <c:pt idx="6">
                  <c:v>2011   </c:v>
                </c:pt>
                <c:pt idx="7">
                  <c:v>2013</c:v>
                </c:pt>
                <c:pt idx="8">
                  <c:v>2014 </c:v>
                </c:pt>
                <c:pt idx="9">
                  <c:v>2016</c:v>
                </c:pt>
                <c:pt idx="10">
                  <c:v>2017</c:v>
                </c:pt>
                <c:pt idx="11">
                  <c:v>2018</c:v>
                </c:pt>
                <c:pt idx="12">
                  <c:v>2020</c:v>
                </c:pt>
                <c:pt idx="13">
                  <c:v>2021</c:v>
                </c:pt>
              </c:strCache>
            </c:strRef>
          </c:cat>
          <c:val>
            <c:numRef>
              <c:f>List1!$B$27:$B$40</c:f>
              <c:numCache>
                <c:formatCode>General</c:formatCode>
                <c:ptCount val="14"/>
                <c:pt idx="0">
                  <c:v>20075</c:v>
                </c:pt>
                <c:pt idx="1">
                  <c:v>18970</c:v>
                </c:pt>
                <c:pt idx="2">
                  <c:v>21024</c:v>
                </c:pt>
                <c:pt idx="3">
                  <c:v>20276</c:v>
                </c:pt>
                <c:pt idx="4">
                  <c:v>21288</c:v>
                </c:pt>
                <c:pt idx="5">
                  <c:v>20037</c:v>
                </c:pt>
                <c:pt idx="6">
                  <c:v>18758</c:v>
                </c:pt>
                <c:pt idx="7">
                  <c:v>18748</c:v>
                </c:pt>
                <c:pt idx="8">
                  <c:v>18101</c:v>
                </c:pt>
                <c:pt idx="9">
                  <c:v>19096</c:v>
                </c:pt>
                <c:pt idx="10">
                  <c:v>20232</c:v>
                </c:pt>
                <c:pt idx="11">
                  <c:v>21163</c:v>
                </c:pt>
                <c:pt idx="12">
                  <c:v>22542</c:v>
                </c:pt>
                <c:pt idx="13">
                  <c:v>23058</c:v>
                </c:pt>
              </c:numCache>
            </c:numRef>
          </c:val>
          <c:smooth val="0"/>
          <c:extLst xmlns:c16r2="http://schemas.microsoft.com/office/drawing/2015/06/chart">
            <c:ext xmlns:c16="http://schemas.microsoft.com/office/drawing/2014/chart" uri="{C3380CC4-5D6E-409C-BE32-E72D297353CC}">
              <c16:uniqueId val="{00000000-DA41-4A34-9FF7-4DB2A759569E}"/>
            </c:ext>
          </c:extLst>
        </c:ser>
        <c:ser>
          <c:idx val="1"/>
          <c:order val="1"/>
          <c:tx>
            <c:strRef>
              <c:f>List1!$C$26</c:f>
              <c:strCache>
                <c:ptCount val="1"/>
                <c:pt idx="0">
                  <c:v>vojákyně</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w="25400">
                <a:noFill/>
              </a:ln>
            </c:spPr>
            <c:txPr>
              <a:bodyPr rot="0" vert="horz"/>
              <a:lstStyle/>
              <a:p>
                <a:pPr>
                  <a:defRPr/>
                </a:pPr>
                <a:endParaRPr lang="cs-CZ"/>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List1!$A$27:$A$40</c:f>
              <c:strCache>
                <c:ptCount val="14"/>
                <c:pt idx="0">
                  <c:v>1999   </c:v>
                </c:pt>
                <c:pt idx="1">
                  <c:v>2001   </c:v>
                </c:pt>
                <c:pt idx="2">
                  <c:v>2003  </c:v>
                </c:pt>
                <c:pt idx="3">
                  <c:v>2005   </c:v>
                </c:pt>
                <c:pt idx="4">
                  <c:v>2007   </c:v>
                </c:pt>
                <c:pt idx="5">
                  <c:v>2009   </c:v>
                </c:pt>
                <c:pt idx="6">
                  <c:v>2011   </c:v>
                </c:pt>
                <c:pt idx="7">
                  <c:v>2013</c:v>
                </c:pt>
                <c:pt idx="8">
                  <c:v>2014 </c:v>
                </c:pt>
                <c:pt idx="9">
                  <c:v>2016</c:v>
                </c:pt>
                <c:pt idx="10">
                  <c:v>2017</c:v>
                </c:pt>
                <c:pt idx="11">
                  <c:v>2018</c:v>
                </c:pt>
                <c:pt idx="12">
                  <c:v>2020</c:v>
                </c:pt>
                <c:pt idx="13">
                  <c:v>2021</c:v>
                </c:pt>
              </c:strCache>
            </c:strRef>
          </c:cat>
          <c:val>
            <c:numRef>
              <c:f>List1!$C$27:$C$40</c:f>
              <c:numCache>
                <c:formatCode>General</c:formatCode>
                <c:ptCount val="14"/>
                <c:pt idx="0">
                  <c:v>1695</c:v>
                </c:pt>
                <c:pt idx="1">
                  <c:v>1918</c:v>
                </c:pt>
                <c:pt idx="2">
                  <c:v>2277</c:v>
                </c:pt>
                <c:pt idx="3">
                  <c:v>2786</c:v>
                </c:pt>
                <c:pt idx="4">
                  <c:v>3001</c:v>
                </c:pt>
                <c:pt idx="5">
                  <c:v>3141</c:v>
                </c:pt>
                <c:pt idx="6">
                  <c:v>3024</c:v>
                </c:pt>
                <c:pt idx="7">
                  <c:v>2985</c:v>
                </c:pt>
                <c:pt idx="8">
                  <c:v>2910</c:v>
                </c:pt>
                <c:pt idx="9">
                  <c:v>2874</c:v>
                </c:pt>
                <c:pt idx="10">
                  <c:v>2952</c:v>
                </c:pt>
                <c:pt idx="11">
                  <c:v>3088</c:v>
                </c:pt>
                <c:pt idx="12">
                  <c:v>3357</c:v>
                </c:pt>
                <c:pt idx="13">
                  <c:v>3563</c:v>
                </c:pt>
              </c:numCache>
            </c:numRef>
          </c:val>
          <c:smooth val="0"/>
          <c:extLst xmlns:c16r2="http://schemas.microsoft.com/office/drawing/2015/06/chart">
            <c:ext xmlns:c16="http://schemas.microsoft.com/office/drawing/2014/chart" uri="{C3380CC4-5D6E-409C-BE32-E72D297353CC}">
              <c16:uniqueId val="{00000001-DA41-4A34-9FF7-4DB2A759569E}"/>
            </c:ext>
          </c:extLst>
        </c:ser>
        <c:dLbls>
          <c:showLegendKey val="0"/>
          <c:showVal val="0"/>
          <c:showCatName val="0"/>
          <c:showSerName val="0"/>
          <c:showPercent val="0"/>
          <c:showBubbleSize val="0"/>
        </c:dLbls>
        <c:marker val="1"/>
        <c:smooth val="0"/>
        <c:axId val="160938240"/>
        <c:axId val="160952320"/>
      </c:lineChart>
      <c:catAx>
        <c:axId val="160938240"/>
        <c:scaling>
          <c:orientation val="minMax"/>
        </c:scaling>
        <c:delete val="1"/>
        <c:axPos val="b"/>
        <c:numFmt formatCode="General" sourceLinked="1"/>
        <c:majorTickMark val="out"/>
        <c:minorTickMark val="none"/>
        <c:tickLblPos val="nextTo"/>
        <c:crossAx val="160952320"/>
        <c:crosses val="autoZero"/>
        <c:auto val="1"/>
        <c:lblAlgn val="ctr"/>
        <c:lblOffset val="100"/>
        <c:noMultiLvlLbl val="0"/>
      </c:catAx>
      <c:valAx>
        <c:axId val="160952320"/>
        <c:scaling>
          <c:orientation val="minMax"/>
        </c:scaling>
        <c:delete val="1"/>
        <c:axPos val="l"/>
        <c:numFmt formatCode="General" sourceLinked="1"/>
        <c:majorTickMark val="out"/>
        <c:minorTickMark val="none"/>
        <c:tickLblPos val="nextTo"/>
        <c:crossAx val="160938240"/>
        <c:crosses val="autoZero"/>
        <c:crossBetween val="between"/>
      </c:valAx>
      <c:spPr>
        <a:solidFill>
          <a:schemeClr val="accent6">
            <a:lumMod val="20000"/>
            <a:lumOff val="80000"/>
          </a:schemeClr>
        </a:solidFill>
        <a:ln>
          <a:noFill/>
        </a:ln>
        <a:effectLst/>
      </c:spPr>
    </c:plotArea>
    <c:legend>
      <c:legendPos val="b"/>
      <c:overlay val="0"/>
      <c:spPr>
        <a:noFill/>
        <a:ln w="25400">
          <a:noFill/>
        </a:ln>
      </c:spPr>
      <c:txPr>
        <a:bodyPr rot="0" vert="horz"/>
        <a:lstStyle/>
        <a:p>
          <a:pPr>
            <a:defRPr/>
          </a:pPr>
          <a:endParaRPr lang="cs-CZ"/>
        </a:p>
      </c:txPr>
    </c:legend>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cs-CZ"/>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1" i="0" u="none" strike="noStrike" kern="1200" baseline="0">
                <a:solidFill>
                  <a:schemeClr val="tx1"/>
                </a:solidFill>
                <a:latin typeface="+mn-lt"/>
                <a:ea typeface="+mn-ea"/>
                <a:cs typeface="+mn-cs"/>
              </a:defRPr>
            </a:pPr>
            <a:r>
              <a:rPr lang="cs-CZ" sz="1000"/>
              <a:t>Poměr přijtých žen ve vztahu k počtu uchazeček,</a:t>
            </a:r>
          </a:p>
          <a:p>
            <a:pPr algn="ctr">
              <a:defRPr sz="1100" b="1" i="0" u="none" strike="noStrike" kern="1200" baseline="0">
                <a:solidFill>
                  <a:schemeClr val="tx1"/>
                </a:solidFill>
                <a:latin typeface="+mn-lt"/>
                <a:ea typeface="+mn-ea"/>
                <a:cs typeface="+mn-cs"/>
              </a:defRPr>
            </a:pPr>
            <a:r>
              <a:rPr lang="cs-CZ" sz="1000"/>
              <a:t>  poměr přijtých mužů ve vztahu k počtu uchazečů </a:t>
            </a:r>
          </a:p>
          <a:p>
            <a:pPr algn="ctr">
              <a:defRPr sz="1100" b="1" i="0" u="none" strike="noStrike" kern="1200" baseline="0">
                <a:solidFill>
                  <a:schemeClr val="tx1"/>
                </a:solidFill>
                <a:latin typeface="+mn-lt"/>
                <a:ea typeface="+mn-ea"/>
                <a:cs typeface="+mn-cs"/>
              </a:defRPr>
            </a:pPr>
            <a:r>
              <a:rPr lang="cs-CZ" sz="1000" i="1" u="sng"/>
              <a:t>rok 2020</a:t>
            </a:r>
          </a:p>
        </c:rich>
      </c:tx>
      <c:layout>
        <c:manualLayout>
          <c:xMode val="edge"/>
          <c:yMode val="edge"/>
          <c:x val="0.15884086444007858"/>
          <c:y val="4.1667057242844648E-2"/>
        </c:manualLayout>
      </c:layout>
      <c:overlay val="0"/>
      <c:spPr>
        <a:noFill/>
        <a:ln>
          <a:noFill/>
        </a:ln>
        <a:effectLst/>
      </c:spPr>
    </c:title>
    <c:autoTitleDeleted val="0"/>
    <c:plotArea>
      <c:layout>
        <c:manualLayout>
          <c:layoutTarget val="inner"/>
          <c:xMode val="edge"/>
          <c:yMode val="edge"/>
          <c:x val="0.23217595099237351"/>
          <c:y val="0.24486157980252474"/>
          <c:w val="0.43053978517911196"/>
          <c:h val="0.65221651981002371"/>
        </c:manualLayout>
      </c:layout>
      <c:pieChart>
        <c:varyColors val="1"/>
        <c:ser>
          <c:idx val="0"/>
          <c:order val="0"/>
          <c:dPt>
            <c:idx val="0"/>
            <c:bubble3D val="0"/>
            <c:explosion val="2"/>
            <c:spPr>
              <a:solidFill>
                <a:schemeClr val="accent1"/>
              </a:solidFill>
              <a:ln>
                <a:noFill/>
              </a:ln>
              <a:effectLst/>
            </c:spPr>
            <c:extLst xmlns:c16r2="http://schemas.microsoft.com/office/drawing/2015/06/chart">
              <c:ext xmlns:c16="http://schemas.microsoft.com/office/drawing/2014/chart" uri="{C3380CC4-5D6E-409C-BE32-E72D297353CC}">
                <c16:uniqueId val="{00000001-FF31-46AA-B76F-BDFD7B8077DC}"/>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FF31-46AA-B76F-BDFD7B8077DC}"/>
              </c:ext>
            </c:extLst>
          </c:dPt>
          <c:dLbls>
            <c:dLbl>
              <c:idx val="0"/>
              <c:layout>
                <c:manualLayout>
                  <c:x val="-0.1666098159635743"/>
                  <c:y val="-8.7038338957630301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F31-46AA-B76F-BDFD7B8077DC}"/>
                </c:ext>
              </c:extLst>
            </c:dLbl>
            <c:dLbl>
              <c:idx val="1"/>
              <c:layout>
                <c:manualLayout>
                  <c:x val="0.13943079683801804"/>
                  <c:y val="8.5476815398075237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F31-46AA-B76F-BDFD7B8077DC}"/>
                </c:ext>
              </c:extLst>
            </c:dLbl>
            <c:spPr>
              <a:noFill/>
              <a:ln w="25400">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List1!$C$70:$C$71</c:f>
              <c:strCache>
                <c:ptCount val="2"/>
                <c:pt idx="0">
                  <c:v>muži</c:v>
                </c:pt>
                <c:pt idx="1">
                  <c:v>ženy</c:v>
                </c:pt>
              </c:strCache>
            </c:strRef>
          </c:cat>
          <c:val>
            <c:numRef>
              <c:f>List1!$D$70:$D$71</c:f>
              <c:numCache>
                <c:formatCode>0%</c:formatCode>
                <c:ptCount val="2"/>
                <c:pt idx="0">
                  <c:v>0.77</c:v>
                </c:pt>
                <c:pt idx="1">
                  <c:v>0.79</c:v>
                </c:pt>
              </c:numCache>
            </c:numRef>
          </c:val>
          <c:extLst xmlns:c16r2="http://schemas.microsoft.com/office/drawing/2015/06/chart">
            <c:ext xmlns:c16="http://schemas.microsoft.com/office/drawing/2014/chart" uri="{C3380CC4-5D6E-409C-BE32-E72D297353CC}">
              <c16:uniqueId val="{00000004-FF31-46AA-B76F-BDFD7B8077DC}"/>
            </c:ext>
          </c:extLst>
        </c:ser>
        <c:dLbls>
          <c:showLegendKey val="0"/>
          <c:showVal val="0"/>
          <c:showCatName val="0"/>
          <c:showSerName val="0"/>
          <c:showPercent val="0"/>
          <c:showBubbleSize val="0"/>
          <c:showLeaderLines val="1"/>
        </c:dLbls>
        <c:firstSliceAng val="0"/>
      </c:pieChart>
      <c:spPr>
        <a:noFill/>
        <a:ln w="25400">
          <a:noFill/>
        </a:ln>
        <a:effectLst/>
      </c:spPr>
    </c:plotArea>
    <c:legend>
      <c:legendPos val="r"/>
      <c:layout>
        <c:manualLayout>
          <c:xMode val="edge"/>
          <c:yMode val="edge"/>
          <c:x val="0.65439954828829117"/>
          <c:y val="0.65669955318085238"/>
          <c:w val="0.14112664944386866"/>
          <c:h val="0.20371125484314456"/>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accent2">
          <a:lumMod val="75000"/>
        </a:schemeClr>
      </a:solidFill>
      <a:prstDash val="solid"/>
      <a:round/>
    </a:ln>
    <a:effectLst/>
    <a:scene3d>
      <a:camera prst="orthographicFront"/>
      <a:lightRig rig="threePt" dir="t"/>
    </a:scene3d>
    <a:sp3d>
      <a:bevelT prst="relaxedInset"/>
    </a:sp3d>
  </c:spPr>
  <c:txPr>
    <a:bodyPr/>
    <a:lstStyle/>
    <a:p>
      <a:pPr>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000"/>
              <a:t>Přijat/přijata do AČR</a:t>
            </a:r>
          </a:p>
        </c:rich>
      </c:tx>
      <c:overlay val="0"/>
    </c:title>
    <c:autoTitleDeleted val="0"/>
    <c:plotArea>
      <c:layout>
        <c:manualLayout>
          <c:layoutTarget val="inner"/>
          <c:xMode val="edge"/>
          <c:yMode val="edge"/>
          <c:x val="1.6821741032370951E-2"/>
          <c:y val="0.17640055409740449"/>
          <c:w val="0.97388757655293068"/>
          <c:h val="0.72150845727617385"/>
        </c:manualLayout>
      </c:layout>
      <c:barChart>
        <c:barDir val="col"/>
        <c:grouping val="clustered"/>
        <c:varyColors val="0"/>
        <c:ser>
          <c:idx val="0"/>
          <c:order val="0"/>
          <c:tx>
            <c:strRef>
              <c:f>List1!$B$42</c:f>
              <c:strCache>
                <c:ptCount val="1"/>
                <c:pt idx="0">
                  <c:v>přijat</c:v>
                </c:pt>
              </c:strCache>
            </c:strRef>
          </c:tx>
          <c:spPr>
            <a:solidFill>
              <a:schemeClr val="accent6">
                <a:lumMod val="40000"/>
                <a:lumOff val="60000"/>
              </a:schemeClr>
            </a:solidFill>
          </c:spPr>
          <c:invertIfNegative val="0"/>
          <c:dLbls>
            <c:spPr>
              <a:noFill/>
              <a:ln w="25400">
                <a:noFill/>
              </a:ln>
            </c:spPr>
            <c:txPr>
              <a:bodyPr/>
              <a:lstStyle/>
              <a:p>
                <a:pPr>
                  <a:defRPr sz="900" b="1"/>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List1!$A$43:$A$49</c:f>
              <c:strCache>
                <c:ptCount val="7"/>
                <c:pt idx="0">
                  <c:v>2010</c:v>
                </c:pt>
                <c:pt idx="1">
                  <c:v>2012</c:v>
                </c:pt>
                <c:pt idx="2">
                  <c:v>2014</c:v>
                </c:pt>
                <c:pt idx="3">
                  <c:v>2015</c:v>
                </c:pt>
                <c:pt idx="4">
                  <c:v>2017</c:v>
                </c:pt>
                <c:pt idx="5">
                  <c:v>2019</c:v>
                </c:pt>
                <c:pt idx="6">
                  <c:v>2020</c:v>
                </c:pt>
              </c:strCache>
            </c:strRef>
          </c:cat>
          <c:val>
            <c:numRef>
              <c:f>List1!$B$43:$B$49</c:f>
              <c:numCache>
                <c:formatCode>General</c:formatCode>
                <c:ptCount val="7"/>
                <c:pt idx="0">
                  <c:v>758</c:v>
                </c:pt>
                <c:pt idx="1">
                  <c:v>608</c:v>
                </c:pt>
                <c:pt idx="2">
                  <c:v>306</c:v>
                </c:pt>
                <c:pt idx="3">
                  <c:v>1509</c:v>
                </c:pt>
                <c:pt idx="4">
                  <c:v>1925</c:v>
                </c:pt>
                <c:pt idx="5">
                  <c:v>1290</c:v>
                </c:pt>
                <c:pt idx="6">
                  <c:v>1628</c:v>
                </c:pt>
              </c:numCache>
            </c:numRef>
          </c:val>
          <c:extLst xmlns:c16r2="http://schemas.microsoft.com/office/drawing/2015/06/chart">
            <c:ext xmlns:c16="http://schemas.microsoft.com/office/drawing/2014/chart" uri="{C3380CC4-5D6E-409C-BE32-E72D297353CC}">
              <c16:uniqueId val="{00000000-674D-41E7-87CC-4AB437D96E3E}"/>
            </c:ext>
          </c:extLst>
        </c:ser>
        <c:ser>
          <c:idx val="1"/>
          <c:order val="1"/>
          <c:tx>
            <c:strRef>
              <c:f>List1!$C$42</c:f>
              <c:strCache>
                <c:ptCount val="1"/>
                <c:pt idx="0">
                  <c:v>přijata</c:v>
                </c:pt>
              </c:strCache>
            </c:strRef>
          </c:tx>
          <c:invertIfNegative val="0"/>
          <c:dLbls>
            <c:spPr>
              <a:noFill/>
              <a:ln w="25400">
                <a:noFill/>
              </a:ln>
            </c:spPr>
            <c:txPr>
              <a:bodyPr/>
              <a:lstStyle/>
              <a:p>
                <a:pPr>
                  <a:defRPr sz="900" b="1"/>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List1!$A$43:$A$49</c:f>
              <c:strCache>
                <c:ptCount val="7"/>
                <c:pt idx="0">
                  <c:v>2010</c:v>
                </c:pt>
                <c:pt idx="1">
                  <c:v>2012</c:v>
                </c:pt>
                <c:pt idx="2">
                  <c:v>2014</c:v>
                </c:pt>
                <c:pt idx="3">
                  <c:v>2015</c:v>
                </c:pt>
                <c:pt idx="4">
                  <c:v>2017</c:v>
                </c:pt>
                <c:pt idx="5">
                  <c:v>2019</c:v>
                </c:pt>
                <c:pt idx="6">
                  <c:v>2020</c:v>
                </c:pt>
              </c:strCache>
            </c:strRef>
          </c:cat>
          <c:val>
            <c:numRef>
              <c:f>List1!$C$43:$C$49</c:f>
              <c:numCache>
                <c:formatCode>General</c:formatCode>
                <c:ptCount val="7"/>
                <c:pt idx="0">
                  <c:v>89</c:v>
                </c:pt>
                <c:pt idx="1">
                  <c:v>26</c:v>
                </c:pt>
                <c:pt idx="2">
                  <c:v>18</c:v>
                </c:pt>
                <c:pt idx="3">
                  <c:v>57</c:v>
                </c:pt>
                <c:pt idx="4">
                  <c:v>249</c:v>
                </c:pt>
                <c:pt idx="5">
                  <c:v>174</c:v>
                </c:pt>
                <c:pt idx="6">
                  <c:v>384</c:v>
                </c:pt>
              </c:numCache>
            </c:numRef>
          </c:val>
          <c:extLst xmlns:c16r2="http://schemas.microsoft.com/office/drawing/2015/06/chart">
            <c:ext xmlns:c16="http://schemas.microsoft.com/office/drawing/2014/chart" uri="{C3380CC4-5D6E-409C-BE32-E72D297353CC}">
              <c16:uniqueId val="{00000001-674D-41E7-87CC-4AB437D96E3E}"/>
            </c:ext>
          </c:extLst>
        </c:ser>
        <c:dLbls>
          <c:showLegendKey val="0"/>
          <c:showVal val="0"/>
          <c:showCatName val="0"/>
          <c:showSerName val="0"/>
          <c:showPercent val="0"/>
          <c:showBubbleSize val="0"/>
        </c:dLbls>
        <c:gapWidth val="150"/>
        <c:axId val="160699520"/>
        <c:axId val="160701056"/>
      </c:barChart>
      <c:catAx>
        <c:axId val="160699520"/>
        <c:scaling>
          <c:orientation val="minMax"/>
        </c:scaling>
        <c:delete val="0"/>
        <c:axPos val="b"/>
        <c:numFmt formatCode="General" sourceLinked="1"/>
        <c:majorTickMark val="out"/>
        <c:minorTickMark val="none"/>
        <c:tickLblPos val="nextTo"/>
        <c:crossAx val="160701056"/>
        <c:crosses val="autoZero"/>
        <c:auto val="1"/>
        <c:lblAlgn val="ctr"/>
        <c:lblOffset val="100"/>
        <c:noMultiLvlLbl val="0"/>
      </c:catAx>
      <c:valAx>
        <c:axId val="160701056"/>
        <c:scaling>
          <c:orientation val="minMax"/>
        </c:scaling>
        <c:delete val="1"/>
        <c:axPos val="l"/>
        <c:numFmt formatCode="General" sourceLinked="1"/>
        <c:majorTickMark val="out"/>
        <c:minorTickMark val="none"/>
        <c:tickLblPos val="nextTo"/>
        <c:crossAx val="160699520"/>
        <c:crosses val="autoZero"/>
        <c:crossBetween val="between"/>
      </c:valAx>
      <c:spPr>
        <a:solidFill>
          <a:schemeClr val="accent6">
            <a:lumMod val="20000"/>
            <a:lumOff val="80000"/>
          </a:schemeClr>
        </a:solidFill>
      </c:spPr>
    </c:plotArea>
    <c:legend>
      <c:legendPos val="r"/>
      <c:layout>
        <c:manualLayout>
          <c:xMode val="edge"/>
          <c:yMode val="edge"/>
          <c:x val="0.87607874015748022"/>
          <c:y val="1.7256488772236803E-2"/>
          <c:w val="0.11003237095363083"/>
          <c:h val="0.13773257509477982"/>
        </c:manualLayout>
      </c:layout>
      <c:overlay val="0"/>
      <c:txPr>
        <a:bodyPr/>
        <a:lstStyle/>
        <a:p>
          <a:pPr>
            <a:defRPr sz="900"/>
          </a:pPr>
          <a:endParaRPr lang="cs-CZ"/>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anose="02020603050405020304" pitchFamily="18" charset="0"/>
                <a:cs typeface="Times New Roman" panose="02020603050405020304" pitchFamily="18" charset="0"/>
              </a:defRPr>
            </a:pPr>
            <a:r>
              <a:rPr lang="cs-CZ" sz="1100">
                <a:latin typeface="Times New Roman" panose="02020603050405020304" pitchFamily="18" charset="0"/>
                <a:cs typeface="Times New Roman" panose="02020603050405020304" pitchFamily="18" charset="0"/>
              </a:rPr>
              <a:t>Podíl studujících žen -  fakulty/UO  </a:t>
            </a:r>
          </a:p>
        </c:rich>
      </c:tx>
      <c:overlay val="0"/>
    </c:title>
    <c:autoTitleDeleted val="0"/>
    <c:plotArea>
      <c:layout>
        <c:manualLayout>
          <c:layoutTarget val="inner"/>
          <c:xMode val="edge"/>
          <c:yMode val="edge"/>
          <c:x val="0.10987481942664146"/>
          <c:y val="0.19797015650453986"/>
          <c:w val="0.46847850414047082"/>
          <c:h val="0.6926501665801803"/>
        </c:manualLayout>
      </c:layout>
      <c:pieChart>
        <c:varyColors val="1"/>
        <c:ser>
          <c:idx val="0"/>
          <c:order val="0"/>
          <c:dPt>
            <c:idx val="0"/>
            <c:bubble3D val="0"/>
            <c:extLst xmlns:c16r2="http://schemas.microsoft.com/office/drawing/2015/06/chart">
              <c:ext xmlns:c16="http://schemas.microsoft.com/office/drawing/2014/chart" uri="{C3380CC4-5D6E-409C-BE32-E72D297353CC}">
                <c16:uniqueId val="{00000000-B17D-427A-9FB0-9145C57DAEC3}"/>
              </c:ext>
            </c:extLst>
          </c:dPt>
          <c:dPt>
            <c:idx val="1"/>
            <c:bubble3D val="0"/>
            <c:extLst xmlns:c16r2="http://schemas.microsoft.com/office/drawing/2015/06/chart">
              <c:ext xmlns:c16="http://schemas.microsoft.com/office/drawing/2014/chart" uri="{C3380CC4-5D6E-409C-BE32-E72D297353CC}">
                <c16:uniqueId val="{00000001-B17D-427A-9FB0-9145C57DAEC3}"/>
              </c:ext>
            </c:extLst>
          </c:dPt>
          <c:dPt>
            <c:idx val="2"/>
            <c:bubble3D val="0"/>
            <c:extLst xmlns:c16r2="http://schemas.microsoft.com/office/drawing/2015/06/chart">
              <c:ext xmlns:c16="http://schemas.microsoft.com/office/drawing/2014/chart" uri="{C3380CC4-5D6E-409C-BE32-E72D297353CC}">
                <c16:uniqueId val="{00000002-B17D-427A-9FB0-9145C57DAEC3}"/>
              </c:ext>
            </c:extLst>
          </c:dPt>
          <c:dPt>
            <c:idx val="3"/>
            <c:bubble3D val="0"/>
            <c:extLst xmlns:c16r2="http://schemas.microsoft.com/office/drawing/2015/06/chart">
              <c:ext xmlns:c16="http://schemas.microsoft.com/office/drawing/2014/chart" uri="{C3380CC4-5D6E-409C-BE32-E72D297353CC}">
                <c16:uniqueId val="{00000003-B17D-427A-9FB0-9145C57DAEC3}"/>
              </c:ext>
            </c:extLst>
          </c:dPt>
          <c:dLbls>
            <c:dLbl>
              <c:idx val="0"/>
              <c:layout>
                <c:manualLayout>
                  <c:x val="-4.0234796231866367E-4"/>
                  <c:y val="2.2361227052922109E-2"/>
                </c:manualLayout>
              </c:layout>
              <c:spPr/>
              <c:txPr>
                <a:bodyPr/>
                <a:lstStyle/>
                <a:p>
                  <a:pPr>
                    <a:defRPr b="1"/>
                  </a:pPr>
                  <a:endParaRPr lang="cs-CZ"/>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17D-427A-9FB0-9145C57DAEC3}"/>
                </c:ext>
              </c:extLst>
            </c:dLbl>
            <c:dLbl>
              <c:idx val="1"/>
              <c:layout>
                <c:manualLayout>
                  <c:x val="-0.11263504852591101"/>
                  <c:y val="5.5362152080560043E-2"/>
                </c:manualLayout>
              </c:layout>
              <c:spPr/>
              <c:txPr>
                <a:bodyPr/>
                <a:lstStyle/>
                <a:p>
                  <a:pPr>
                    <a:defRPr b="1"/>
                  </a:pPr>
                  <a:endParaRPr lang="cs-CZ"/>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17D-427A-9FB0-9145C57DAEC3}"/>
                </c:ext>
              </c:extLst>
            </c:dLbl>
            <c:dLbl>
              <c:idx val="2"/>
              <c:layout>
                <c:manualLayout>
                  <c:x val="6.1682078984313007E-2"/>
                  <c:y val="-0.12531943535711332"/>
                </c:manualLayout>
              </c:layout>
              <c:spPr/>
              <c:txPr>
                <a:bodyPr/>
                <a:lstStyle/>
                <a:p>
                  <a:pPr>
                    <a:defRPr b="1"/>
                  </a:pPr>
                  <a:endParaRPr lang="cs-CZ"/>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17D-427A-9FB0-9145C57DAEC3}"/>
                </c:ext>
              </c:extLst>
            </c:dLbl>
            <c:dLbl>
              <c:idx val="3"/>
              <c:layout>
                <c:manualLayout>
                  <c:x val="0.14638649819935295"/>
                  <c:y val="1.8165888289751746E-3"/>
                </c:manualLayout>
              </c:layout>
              <c:spPr/>
              <c:txPr>
                <a:bodyPr/>
                <a:lstStyle/>
                <a:p>
                  <a:pPr>
                    <a:defRPr b="1"/>
                  </a:pPr>
                  <a:endParaRPr lang="cs-CZ"/>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17D-427A-9FB0-9145C57DAEC3}"/>
                </c:ext>
              </c:extLst>
            </c:dLbl>
            <c:spPr>
              <a:noFill/>
              <a:ln w="25400">
                <a:noFill/>
              </a:ln>
            </c:spPr>
            <c:txPr>
              <a:bodyPr/>
              <a:lstStyle/>
              <a:p>
                <a:pPr>
                  <a:defRPr b="1"/>
                </a:pPr>
                <a:endParaRPr lang="cs-CZ"/>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List1!$B$78:$B$81</c:f>
              <c:strCache>
                <c:ptCount val="4"/>
                <c:pt idx="0">
                  <c:v>UO - doktorské studium   </c:v>
                </c:pt>
                <c:pt idx="1">
                  <c:v>Fakulta vojenského leadershipu     </c:v>
                </c:pt>
                <c:pt idx="2">
                  <c:v>Fakulta vojenských technologií</c:v>
                </c:pt>
                <c:pt idx="3">
                  <c:v>Fakulta vojenského zdravotnictví </c:v>
                </c:pt>
              </c:strCache>
            </c:strRef>
          </c:cat>
          <c:val>
            <c:numRef>
              <c:f>List1!$C$78:$C$81</c:f>
              <c:numCache>
                <c:formatCode>0%</c:formatCode>
                <c:ptCount val="4"/>
                <c:pt idx="0">
                  <c:v>0.01</c:v>
                </c:pt>
                <c:pt idx="1">
                  <c:v>0.49</c:v>
                </c:pt>
                <c:pt idx="2">
                  <c:v>0.19</c:v>
                </c:pt>
                <c:pt idx="3">
                  <c:v>0.31</c:v>
                </c:pt>
              </c:numCache>
            </c:numRef>
          </c:val>
          <c:extLst xmlns:c16r2="http://schemas.microsoft.com/office/drawing/2015/06/chart">
            <c:ext xmlns:c16="http://schemas.microsoft.com/office/drawing/2014/chart" uri="{C3380CC4-5D6E-409C-BE32-E72D297353CC}">
              <c16:uniqueId val="{00000004-B17D-427A-9FB0-9145C57DAEC3}"/>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158980854137416"/>
          <c:y val="0.34602426129398584"/>
          <c:w val="0.30047279700502549"/>
          <c:h val="0.63174612127638774"/>
        </c:manualLayout>
      </c:layout>
      <c:overlay val="0"/>
    </c:legend>
    <c:plotVisOnly val="1"/>
    <c:dispBlanksAs val="zero"/>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cs-CZ"/>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900">
                <a:latin typeface="Times New Roman" panose="02020603050405020304" pitchFamily="18" charset="0"/>
                <a:cs typeface="Times New Roman" panose="02020603050405020304" pitchFamily="18" charset="0"/>
              </a:defRPr>
            </a:pPr>
            <a:r>
              <a:rPr lang="cs-CZ" sz="900">
                <a:latin typeface="Times New Roman" panose="02020603050405020304" pitchFamily="18" charset="0"/>
                <a:cs typeface="Times New Roman" panose="02020603050405020304" pitchFamily="18" charset="0"/>
              </a:rPr>
              <a:t>Univerzita obany</a:t>
            </a:r>
          </a:p>
          <a:p>
            <a:pPr>
              <a:defRPr sz="900">
                <a:latin typeface="Times New Roman" panose="02020603050405020304" pitchFamily="18" charset="0"/>
                <a:cs typeface="Times New Roman" panose="02020603050405020304" pitchFamily="18" charset="0"/>
              </a:defRPr>
            </a:pPr>
            <a:r>
              <a:rPr lang="cs-CZ" sz="900">
                <a:latin typeface="Times New Roman" panose="02020603050405020304" pitchFamily="18" charset="0"/>
                <a:cs typeface="Times New Roman" panose="02020603050405020304" pitchFamily="18" charset="0"/>
              </a:rPr>
              <a:t>z uchazečů/uchazeček bylo přijato ke studiu  </a:t>
            </a:r>
          </a:p>
          <a:p>
            <a:pPr>
              <a:defRPr sz="900">
                <a:latin typeface="Times New Roman" panose="02020603050405020304" pitchFamily="18" charset="0"/>
                <a:cs typeface="Times New Roman" panose="02020603050405020304" pitchFamily="18" charset="0"/>
              </a:defRPr>
            </a:pPr>
            <a:r>
              <a:rPr lang="cs-CZ" sz="900">
                <a:latin typeface="Times New Roman" panose="02020603050405020304" pitchFamily="18" charset="0"/>
                <a:cs typeface="Times New Roman" panose="02020603050405020304" pitchFamily="18" charset="0"/>
              </a:rPr>
              <a:t> (úspěšnost  2020/2021)</a:t>
            </a:r>
          </a:p>
        </c:rich>
      </c:tx>
      <c:layout>
        <c:manualLayout>
          <c:xMode val="edge"/>
          <c:yMode val="edge"/>
          <c:x val="0.21871773638996234"/>
          <c:y val="5.5555555555555552E-2"/>
        </c:manualLayout>
      </c:layout>
      <c:overlay val="0"/>
    </c:title>
    <c:autoTitleDeleted val="0"/>
    <c:plotArea>
      <c:layout>
        <c:manualLayout>
          <c:layoutTarget val="inner"/>
          <c:xMode val="edge"/>
          <c:yMode val="edge"/>
          <c:x val="0.2366178915135608"/>
          <c:y val="0.26821777486147563"/>
          <c:w val="0.40851377952755907"/>
          <c:h val="0.68085629921259838"/>
        </c:manualLayout>
      </c:layout>
      <c:pieChart>
        <c:varyColors val="1"/>
        <c:ser>
          <c:idx val="0"/>
          <c:order val="0"/>
          <c:spPr>
            <a:solidFill>
              <a:schemeClr val="accent4">
                <a:lumMod val="60000"/>
                <a:lumOff val="40000"/>
              </a:schemeClr>
            </a:solidFill>
          </c:spPr>
          <c:dPt>
            <c:idx val="0"/>
            <c:bubble3D val="0"/>
            <c:extLst xmlns:c16r2="http://schemas.microsoft.com/office/drawing/2015/06/chart">
              <c:ext xmlns:c16="http://schemas.microsoft.com/office/drawing/2014/chart" uri="{C3380CC4-5D6E-409C-BE32-E72D297353CC}">
                <c16:uniqueId val="{00000000-CFB6-4C55-A63F-FB2200FE7B70}"/>
              </c:ext>
            </c:extLst>
          </c:dPt>
          <c:dPt>
            <c:idx val="1"/>
            <c:bubble3D val="0"/>
            <c:spPr>
              <a:solidFill>
                <a:schemeClr val="accent4">
                  <a:lumMod val="20000"/>
                  <a:lumOff val="80000"/>
                </a:schemeClr>
              </a:solidFill>
              <a:ln>
                <a:solidFill>
                  <a:schemeClr val="accent4">
                    <a:lumMod val="75000"/>
                  </a:schemeClr>
                </a:solidFill>
              </a:ln>
            </c:spPr>
            <c:extLst xmlns:c16r2="http://schemas.microsoft.com/office/drawing/2015/06/chart">
              <c:ext xmlns:c16="http://schemas.microsoft.com/office/drawing/2014/chart" uri="{C3380CC4-5D6E-409C-BE32-E72D297353CC}">
                <c16:uniqueId val="{00000002-CFB6-4C55-A63F-FB2200FE7B70}"/>
              </c:ext>
            </c:extLst>
          </c:dPt>
          <c:dLbls>
            <c:spPr>
              <a:noFill/>
              <a:ln w="25400">
                <a:noFill/>
              </a:ln>
            </c:spPr>
            <c:txPr>
              <a:bodyPr/>
              <a:lstStyle/>
              <a:p>
                <a:pPr>
                  <a:defRPr b="1"/>
                </a:pPr>
                <a:endParaRPr lang="cs-CZ"/>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List1!$C$30:$C$31</c:f>
              <c:strCache>
                <c:ptCount val="2"/>
                <c:pt idx="0">
                  <c:v>muži</c:v>
                </c:pt>
                <c:pt idx="1">
                  <c:v>ženy</c:v>
                </c:pt>
              </c:strCache>
            </c:strRef>
          </c:cat>
          <c:val>
            <c:numRef>
              <c:f>List1!$D$30:$D$31</c:f>
              <c:numCache>
                <c:formatCode>0%</c:formatCode>
                <c:ptCount val="2"/>
                <c:pt idx="0">
                  <c:v>0.34</c:v>
                </c:pt>
                <c:pt idx="1">
                  <c:v>0.32</c:v>
                </c:pt>
              </c:numCache>
            </c:numRef>
          </c:val>
          <c:extLst xmlns:c16r2="http://schemas.microsoft.com/office/drawing/2015/06/chart">
            <c:ext xmlns:c16="http://schemas.microsoft.com/office/drawing/2014/chart" uri="{C3380CC4-5D6E-409C-BE32-E72D297353CC}">
              <c16:uniqueId val="{00000003-CFB6-4C55-A63F-FB2200FE7B7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480305275493702"/>
          <c:y val="0.63713910761154857"/>
          <c:w val="0.20596977723322343"/>
          <c:h val="0.18984762321376492"/>
        </c:manualLayout>
      </c:layout>
      <c:overlay val="0"/>
    </c:legend>
    <c:plotVisOnly val="1"/>
    <c:dispBlanksAs val="gap"/>
    <c:showDLblsOverMax val="0"/>
  </c:chart>
  <c:spPr>
    <a:ln>
      <a:solidFill>
        <a:schemeClr val="accent4">
          <a:lumMod val="75000"/>
        </a:schemeClr>
      </a:solid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B024-AF21-4BF6-81C6-EDBCBE4E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D1680E45.dotm</Template>
  <TotalTime>0</TotalTime>
  <Pages>56</Pages>
  <Words>17662</Words>
  <Characters>104209</Characters>
  <Application>Microsoft Office Word</Application>
  <DocSecurity>0</DocSecurity>
  <Lines>868</Lines>
  <Paragraphs>243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121628</CharactersWithSpaces>
  <SharedDoc>false</SharedDoc>
  <HLinks>
    <vt:vector size="288" baseType="variant">
      <vt:variant>
        <vt:i4>5505088</vt:i4>
      </vt:variant>
      <vt:variant>
        <vt:i4>225</vt:i4>
      </vt:variant>
      <vt:variant>
        <vt:i4>0</vt:i4>
      </vt:variant>
      <vt:variant>
        <vt:i4>5</vt:i4>
      </vt:variant>
      <vt:variant>
        <vt:lpwstr>https://www.mvcr.cz/migrace/ViewFile.aspx?docid=22179514</vt:lpwstr>
      </vt:variant>
      <vt:variant>
        <vt:lpwstr/>
      </vt:variant>
      <vt:variant>
        <vt:i4>1704018</vt:i4>
      </vt:variant>
      <vt:variant>
        <vt:i4>222</vt:i4>
      </vt:variant>
      <vt:variant>
        <vt:i4>0</vt:i4>
      </vt:variant>
      <vt:variant>
        <vt:i4>5</vt:i4>
      </vt:variant>
      <vt:variant>
        <vt:lpwstr>http://www.army.cz/informacni-servis/povinne-informace/1-rovne-prilezitosti/rovne-prilezitosti-muzu-a-zen-54018/</vt:lpwstr>
      </vt:variant>
      <vt:variant>
        <vt:lpwstr/>
      </vt:variant>
      <vt:variant>
        <vt:i4>5242984</vt:i4>
      </vt:variant>
      <vt:variant>
        <vt:i4>219</vt:i4>
      </vt:variant>
      <vt:variant>
        <vt:i4>0</vt:i4>
      </vt:variant>
      <vt:variant>
        <vt:i4>5</vt:i4>
      </vt:variant>
      <vt:variant>
        <vt:lpwstr>mailto:ombudsman@army.cz</vt:lpwstr>
      </vt:variant>
      <vt:variant>
        <vt:lpwstr/>
      </vt:variant>
      <vt:variant>
        <vt:i4>3014711</vt:i4>
      </vt:variant>
      <vt:variant>
        <vt:i4>212</vt:i4>
      </vt:variant>
      <vt:variant>
        <vt:i4>0</vt:i4>
      </vt:variant>
      <vt:variant>
        <vt:i4>5</vt:i4>
      </vt:variant>
      <vt:variant>
        <vt:lpwstr/>
      </vt:variant>
      <vt:variant>
        <vt:lpwstr>_Toc8823924</vt:lpwstr>
      </vt:variant>
      <vt:variant>
        <vt:i4>3014704</vt:i4>
      </vt:variant>
      <vt:variant>
        <vt:i4>206</vt:i4>
      </vt:variant>
      <vt:variant>
        <vt:i4>0</vt:i4>
      </vt:variant>
      <vt:variant>
        <vt:i4>5</vt:i4>
      </vt:variant>
      <vt:variant>
        <vt:lpwstr/>
      </vt:variant>
      <vt:variant>
        <vt:lpwstr>_Toc8823923</vt:lpwstr>
      </vt:variant>
      <vt:variant>
        <vt:i4>3014705</vt:i4>
      </vt:variant>
      <vt:variant>
        <vt:i4>200</vt:i4>
      </vt:variant>
      <vt:variant>
        <vt:i4>0</vt:i4>
      </vt:variant>
      <vt:variant>
        <vt:i4>5</vt:i4>
      </vt:variant>
      <vt:variant>
        <vt:lpwstr/>
      </vt:variant>
      <vt:variant>
        <vt:lpwstr>_Toc8823922</vt:lpwstr>
      </vt:variant>
      <vt:variant>
        <vt:i4>3014706</vt:i4>
      </vt:variant>
      <vt:variant>
        <vt:i4>194</vt:i4>
      </vt:variant>
      <vt:variant>
        <vt:i4>0</vt:i4>
      </vt:variant>
      <vt:variant>
        <vt:i4>5</vt:i4>
      </vt:variant>
      <vt:variant>
        <vt:lpwstr/>
      </vt:variant>
      <vt:variant>
        <vt:lpwstr>_Toc8823921</vt:lpwstr>
      </vt:variant>
      <vt:variant>
        <vt:i4>3014707</vt:i4>
      </vt:variant>
      <vt:variant>
        <vt:i4>188</vt:i4>
      </vt:variant>
      <vt:variant>
        <vt:i4>0</vt:i4>
      </vt:variant>
      <vt:variant>
        <vt:i4>5</vt:i4>
      </vt:variant>
      <vt:variant>
        <vt:lpwstr/>
      </vt:variant>
      <vt:variant>
        <vt:lpwstr>_Toc8823920</vt:lpwstr>
      </vt:variant>
      <vt:variant>
        <vt:i4>2949178</vt:i4>
      </vt:variant>
      <vt:variant>
        <vt:i4>182</vt:i4>
      </vt:variant>
      <vt:variant>
        <vt:i4>0</vt:i4>
      </vt:variant>
      <vt:variant>
        <vt:i4>5</vt:i4>
      </vt:variant>
      <vt:variant>
        <vt:lpwstr/>
      </vt:variant>
      <vt:variant>
        <vt:lpwstr>_Toc8823919</vt:lpwstr>
      </vt:variant>
      <vt:variant>
        <vt:i4>2949179</vt:i4>
      </vt:variant>
      <vt:variant>
        <vt:i4>176</vt:i4>
      </vt:variant>
      <vt:variant>
        <vt:i4>0</vt:i4>
      </vt:variant>
      <vt:variant>
        <vt:i4>5</vt:i4>
      </vt:variant>
      <vt:variant>
        <vt:lpwstr/>
      </vt:variant>
      <vt:variant>
        <vt:lpwstr>_Toc8823918</vt:lpwstr>
      </vt:variant>
      <vt:variant>
        <vt:i4>2949172</vt:i4>
      </vt:variant>
      <vt:variant>
        <vt:i4>170</vt:i4>
      </vt:variant>
      <vt:variant>
        <vt:i4>0</vt:i4>
      </vt:variant>
      <vt:variant>
        <vt:i4>5</vt:i4>
      </vt:variant>
      <vt:variant>
        <vt:lpwstr/>
      </vt:variant>
      <vt:variant>
        <vt:lpwstr>_Toc8823917</vt:lpwstr>
      </vt:variant>
      <vt:variant>
        <vt:i4>2949173</vt:i4>
      </vt:variant>
      <vt:variant>
        <vt:i4>164</vt:i4>
      </vt:variant>
      <vt:variant>
        <vt:i4>0</vt:i4>
      </vt:variant>
      <vt:variant>
        <vt:i4>5</vt:i4>
      </vt:variant>
      <vt:variant>
        <vt:lpwstr/>
      </vt:variant>
      <vt:variant>
        <vt:lpwstr>_Toc8823916</vt:lpwstr>
      </vt:variant>
      <vt:variant>
        <vt:i4>2949174</vt:i4>
      </vt:variant>
      <vt:variant>
        <vt:i4>158</vt:i4>
      </vt:variant>
      <vt:variant>
        <vt:i4>0</vt:i4>
      </vt:variant>
      <vt:variant>
        <vt:i4>5</vt:i4>
      </vt:variant>
      <vt:variant>
        <vt:lpwstr/>
      </vt:variant>
      <vt:variant>
        <vt:lpwstr>_Toc8823915</vt:lpwstr>
      </vt:variant>
      <vt:variant>
        <vt:i4>2949175</vt:i4>
      </vt:variant>
      <vt:variant>
        <vt:i4>152</vt:i4>
      </vt:variant>
      <vt:variant>
        <vt:i4>0</vt:i4>
      </vt:variant>
      <vt:variant>
        <vt:i4>5</vt:i4>
      </vt:variant>
      <vt:variant>
        <vt:lpwstr/>
      </vt:variant>
      <vt:variant>
        <vt:lpwstr>_Toc8823914</vt:lpwstr>
      </vt:variant>
      <vt:variant>
        <vt:i4>2949168</vt:i4>
      </vt:variant>
      <vt:variant>
        <vt:i4>146</vt:i4>
      </vt:variant>
      <vt:variant>
        <vt:i4>0</vt:i4>
      </vt:variant>
      <vt:variant>
        <vt:i4>5</vt:i4>
      </vt:variant>
      <vt:variant>
        <vt:lpwstr/>
      </vt:variant>
      <vt:variant>
        <vt:lpwstr>_Toc8823913</vt:lpwstr>
      </vt:variant>
      <vt:variant>
        <vt:i4>2949169</vt:i4>
      </vt:variant>
      <vt:variant>
        <vt:i4>140</vt:i4>
      </vt:variant>
      <vt:variant>
        <vt:i4>0</vt:i4>
      </vt:variant>
      <vt:variant>
        <vt:i4>5</vt:i4>
      </vt:variant>
      <vt:variant>
        <vt:lpwstr/>
      </vt:variant>
      <vt:variant>
        <vt:lpwstr>_Toc8823912</vt:lpwstr>
      </vt:variant>
      <vt:variant>
        <vt:i4>2949170</vt:i4>
      </vt:variant>
      <vt:variant>
        <vt:i4>134</vt:i4>
      </vt:variant>
      <vt:variant>
        <vt:i4>0</vt:i4>
      </vt:variant>
      <vt:variant>
        <vt:i4>5</vt:i4>
      </vt:variant>
      <vt:variant>
        <vt:lpwstr/>
      </vt:variant>
      <vt:variant>
        <vt:lpwstr>_Toc8823911</vt:lpwstr>
      </vt:variant>
      <vt:variant>
        <vt:i4>2949171</vt:i4>
      </vt:variant>
      <vt:variant>
        <vt:i4>128</vt:i4>
      </vt:variant>
      <vt:variant>
        <vt:i4>0</vt:i4>
      </vt:variant>
      <vt:variant>
        <vt:i4>5</vt:i4>
      </vt:variant>
      <vt:variant>
        <vt:lpwstr/>
      </vt:variant>
      <vt:variant>
        <vt:lpwstr>_Toc8823910</vt:lpwstr>
      </vt:variant>
      <vt:variant>
        <vt:i4>2883642</vt:i4>
      </vt:variant>
      <vt:variant>
        <vt:i4>122</vt:i4>
      </vt:variant>
      <vt:variant>
        <vt:i4>0</vt:i4>
      </vt:variant>
      <vt:variant>
        <vt:i4>5</vt:i4>
      </vt:variant>
      <vt:variant>
        <vt:lpwstr/>
      </vt:variant>
      <vt:variant>
        <vt:lpwstr>_Toc8823909</vt:lpwstr>
      </vt:variant>
      <vt:variant>
        <vt:i4>2883643</vt:i4>
      </vt:variant>
      <vt:variant>
        <vt:i4>116</vt:i4>
      </vt:variant>
      <vt:variant>
        <vt:i4>0</vt:i4>
      </vt:variant>
      <vt:variant>
        <vt:i4>5</vt:i4>
      </vt:variant>
      <vt:variant>
        <vt:lpwstr/>
      </vt:variant>
      <vt:variant>
        <vt:lpwstr>_Toc8823908</vt:lpwstr>
      </vt:variant>
      <vt:variant>
        <vt:i4>2883636</vt:i4>
      </vt:variant>
      <vt:variant>
        <vt:i4>110</vt:i4>
      </vt:variant>
      <vt:variant>
        <vt:i4>0</vt:i4>
      </vt:variant>
      <vt:variant>
        <vt:i4>5</vt:i4>
      </vt:variant>
      <vt:variant>
        <vt:lpwstr/>
      </vt:variant>
      <vt:variant>
        <vt:lpwstr>_Toc8823907</vt:lpwstr>
      </vt:variant>
      <vt:variant>
        <vt:i4>2883637</vt:i4>
      </vt:variant>
      <vt:variant>
        <vt:i4>104</vt:i4>
      </vt:variant>
      <vt:variant>
        <vt:i4>0</vt:i4>
      </vt:variant>
      <vt:variant>
        <vt:i4>5</vt:i4>
      </vt:variant>
      <vt:variant>
        <vt:lpwstr/>
      </vt:variant>
      <vt:variant>
        <vt:lpwstr>_Toc8823906</vt:lpwstr>
      </vt:variant>
      <vt:variant>
        <vt:i4>2883638</vt:i4>
      </vt:variant>
      <vt:variant>
        <vt:i4>98</vt:i4>
      </vt:variant>
      <vt:variant>
        <vt:i4>0</vt:i4>
      </vt:variant>
      <vt:variant>
        <vt:i4>5</vt:i4>
      </vt:variant>
      <vt:variant>
        <vt:lpwstr/>
      </vt:variant>
      <vt:variant>
        <vt:lpwstr>_Toc8823905</vt:lpwstr>
      </vt:variant>
      <vt:variant>
        <vt:i4>2883639</vt:i4>
      </vt:variant>
      <vt:variant>
        <vt:i4>92</vt:i4>
      </vt:variant>
      <vt:variant>
        <vt:i4>0</vt:i4>
      </vt:variant>
      <vt:variant>
        <vt:i4>5</vt:i4>
      </vt:variant>
      <vt:variant>
        <vt:lpwstr/>
      </vt:variant>
      <vt:variant>
        <vt:lpwstr>_Toc8823904</vt:lpwstr>
      </vt:variant>
      <vt:variant>
        <vt:i4>2883632</vt:i4>
      </vt:variant>
      <vt:variant>
        <vt:i4>86</vt:i4>
      </vt:variant>
      <vt:variant>
        <vt:i4>0</vt:i4>
      </vt:variant>
      <vt:variant>
        <vt:i4>5</vt:i4>
      </vt:variant>
      <vt:variant>
        <vt:lpwstr/>
      </vt:variant>
      <vt:variant>
        <vt:lpwstr>_Toc8823903</vt:lpwstr>
      </vt:variant>
      <vt:variant>
        <vt:i4>2883633</vt:i4>
      </vt:variant>
      <vt:variant>
        <vt:i4>80</vt:i4>
      </vt:variant>
      <vt:variant>
        <vt:i4>0</vt:i4>
      </vt:variant>
      <vt:variant>
        <vt:i4>5</vt:i4>
      </vt:variant>
      <vt:variant>
        <vt:lpwstr/>
      </vt:variant>
      <vt:variant>
        <vt:lpwstr>_Toc8823902</vt:lpwstr>
      </vt:variant>
      <vt:variant>
        <vt:i4>2883634</vt:i4>
      </vt:variant>
      <vt:variant>
        <vt:i4>74</vt:i4>
      </vt:variant>
      <vt:variant>
        <vt:i4>0</vt:i4>
      </vt:variant>
      <vt:variant>
        <vt:i4>5</vt:i4>
      </vt:variant>
      <vt:variant>
        <vt:lpwstr/>
      </vt:variant>
      <vt:variant>
        <vt:lpwstr>_Toc8823901</vt:lpwstr>
      </vt:variant>
      <vt:variant>
        <vt:i4>2883635</vt:i4>
      </vt:variant>
      <vt:variant>
        <vt:i4>68</vt:i4>
      </vt:variant>
      <vt:variant>
        <vt:i4>0</vt:i4>
      </vt:variant>
      <vt:variant>
        <vt:i4>5</vt:i4>
      </vt:variant>
      <vt:variant>
        <vt:lpwstr/>
      </vt:variant>
      <vt:variant>
        <vt:lpwstr>_Toc8823900</vt:lpwstr>
      </vt:variant>
      <vt:variant>
        <vt:i4>2424891</vt:i4>
      </vt:variant>
      <vt:variant>
        <vt:i4>62</vt:i4>
      </vt:variant>
      <vt:variant>
        <vt:i4>0</vt:i4>
      </vt:variant>
      <vt:variant>
        <vt:i4>5</vt:i4>
      </vt:variant>
      <vt:variant>
        <vt:lpwstr/>
      </vt:variant>
      <vt:variant>
        <vt:lpwstr>_Toc8823899</vt:lpwstr>
      </vt:variant>
      <vt:variant>
        <vt:i4>2424890</vt:i4>
      </vt:variant>
      <vt:variant>
        <vt:i4>56</vt:i4>
      </vt:variant>
      <vt:variant>
        <vt:i4>0</vt:i4>
      </vt:variant>
      <vt:variant>
        <vt:i4>5</vt:i4>
      </vt:variant>
      <vt:variant>
        <vt:lpwstr/>
      </vt:variant>
      <vt:variant>
        <vt:lpwstr>_Toc8823898</vt:lpwstr>
      </vt:variant>
      <vt:variant>
        <vt:i4>2424885</vt:i4>
      </vt:variant>
      <vt:variant>
        <vt:i4>50</vt:i4>
      </vt:variant>
      <vt:variant>
        <vt:i4>0</vt:i4>
      </vt:variant>
      <vt:variant>
        <vt:i4>5</vt:i4>
      </vt:variant>
      <vt:variant>
        <vt:lpwstr/>
      </vt:variant>
      <vt:variant>
        <vt:lpwstr>_Toc8823897</vt:lpwstr>
      </vt:variant>
      <vt:variant>
        <vt:i4>2424884</vt:i4>
      </vt:variant>
      <vt:variant>
        <vt:i4>44</vt:i4>
      </vt:variant>
      <vt:variant>
        <vt:i4>0</vt:i4>
      </vt:variant>
      <vt:variant>
        <vt:i4>5</vt:i4>
      </vt:variant>
      <vt:variant>
        <vt:lpwstr/>
      </vt:variant>
      <vt:variant>
        <vt:lpwstr>_Toc8823896</vt:lpwstr>
      </vt:variant>
      <vt:variant>
        <vt:i4>2424887</vt:i4>
      </vt:variant>
      <vt:variant>
        <vt:i4>38</vt:i4>
      </vt:variant>
      <vt:variant>
        <vt:i4>0</vt:i4>
      </vt:variant>
      <vt:variant>
        <vt:i4>5</vt:i4>
      </vt:variant>
      <vt:variant>
        <vt:lpwstr/>
      </vt:variant>
      <vt:variant>
        <vt:lpwstr>_Toc8823895</vt:lpwstr>
      </vt:variant>
      <vt:variant>
        <vt:i4>2424886</vt:i4>
      </vt:variant>
      <vt:variant>
        <vt:i4>32</vt:i4>
      </vt:variant>
      <vt:variant>
        <vt:i4>0</vt:i4>
      </vt:variant>
      <vt:variant>
        <vt:i4>5</vt:i4>
      </vt:variant>
      <vt:variant>
        <vt:lpwstr/>
      </vt:variant>
      <vt:variant>
        <vt:lpwstr>_Toc8823894</vt:lpwstr>
      </vt:variant>
      <vt:variant>
        <vt:i4>2424881</vt:i4>
      </vt:variant>
      <vt:variant>
        <vt:i4>26</vt:i4>
      </vt:variant>
      <vt:variant>
        <vt:i4>0</vt:i4>
      </vt:variant>
      <vt:variant>
        <vt:i4>5</vt:i4>
      </vt:variant>
      <vt:variant>
        <vt:lpwstr/>
      </vt:variant>
      <vt:variant>
        <vt:lpwstr>_Toc8823893</vt:lpwstr>
      </vt:variant>
      <vt:variant>
        <vt:i4>2424880</vt:i4>
      </vt:variant>
      <vt:variant>
        <vt:i4>20</vt:i4>
      </vt:variant>
      <vt:variant>
        <vt:i4>0</vt:i4>
      </vt:variant>
      <vt:variant>
        <vt:i4>5</vt:i4>
      </vt:variant>
      <vt:variant>
        <vt:lpwstr/>
      </vt:variant>
      <vt:variant>
        <vt:lpwstr>_Toc8823892</vt:lpwstr>
      </vt:variant>
      <vt:variant>
        <vt:i4>2424883</vt:i4>
      </vt:variant>
      <vt:variant>
        <vt:i4>14</vt:i4>
      </vt:variant>
      <vt:variant>
        <vt:i4>0</vt:i4>
      </vt:variant>
      <vt:variant>
        <vt:i4>5</vt:i4>
      </vt:variant>
      <vt:variant>
        <vt:lpwstr/>
      </vt:variant>
      <vt:variant>
        <vt:lpwstr>_Toc8823891</vt:lpwstr>
      </vt:variant>
      <vt:variant>
        <vt:i4>2424882</vt:i4>
      </vt:variant>
      <vt:variant>
        <vt:i4>8</vt:i4>
      </vt:variant>
      <vt:variant>
        <vt:i4>0</vt:i4>
      </vt:variant>
      <vt:variant>
        <vt:i4>5</vt:i4>
      </vt:variant>
      <vt:variant>
        <vt:lpwstr/>
      </vt:variant>
      <vt:variant>
        <vt:lpwstr>_Toc8823890</vt:lpwstr>
      </vt:variant>
      <vt:variant>
        <vt:i4>2359355</vt:i4>
      </vt:variant>
      <vt:variant>
        <vt:i4>2</vt:i4>
      </vt:variant>
      <vt:variant>
        <vt:i4>0</vt:i4>
      </vt:variant>
      <vt:variant>
        <vt:i4>5</vt:i4>
      </vt:variant>
      <vt:variant>
        <vt:lpwstr/>
      </vt:variant>
      <vt:variant>
        <vt:lpwstr>_Toc8823889</vt:lpwstr>
      </vt:variant>
      <vt:variant>
        <vt:i4>5636168</vt:i4>
      </vt:variant>
      <vt:variant>
        <vt:i4>15</vt:i4>
      </vt:variant>
      <vt:variant>
        <vt:i4>0</vt:i4>
      </vt:variant>
      <vt:variant>
        <vt:i4>5</vt:i4>
      </vt:variant>
      <vt:variant>
        <vt:lpwstr>https://www.mvcr.cz/migrace/ViewFile.aspx?docid=22181418</vt:lpwstr>
      </vt:variant>
      <vt:variant>
        <vt:lpwstr/>
      </vt:variant>
      <vt:variant>
        <vt:i4>2097240</vt:i4>
      </vt:variant>
      <vt:variant>
        <vt:i4>12</vt:i4>
      </vt:variant>
      <vt:variant>
        <vt:i4>0</vt:i4>
      </vt:variant>
      <vt:variant>
        <vt:i4>5</vt:i4>
      </vt:variant>
      <vt:variant>
        <vt:lpwstr>https://www.mvcr.cz/migrace/clanek/cizinci-s-povolenym-pobytem.aspx</vt:lpwstr>
      </vt:variant>
      <vt:variant>
        <vt:lpwstr/>
      </vt:variant>
      <vt:variant>
        <vt:i4>1704018</vt:i4>
      </vt:variant>
      <vt:variant>
        <vt:i4>9</vt:i4>
      </vt:variant>
      <vt:variant>
        <vt:i4>0</vt:i4>
      </vt:variant>
      <vt:variant>
        <vt:i4>5</vt:i4>
      </vt:variant>
      <vt:variant>
        <vt:lpwstr>http://www.army.cz/informacni-servis/povinne-informace/1-rovne-prilezitosti/rovne-prilezitosti-muzu-a-zen-54018/</vt:lpwstr>
      </vt:variant>
      <vt:variant>
        <vt:lpwstr/>
      </vt:variant>
      <vt:variant>
        <vt:i4>4718661</vt:i4>
      </vt:variant>
      <vt:variant>
        <vt:i4>6</vt:i4>
      </vt:variant>
      <vt:variant>
        <vt:i4>0</vt:i4>
      </vt:variant>
      <vt:variant>
        <vt:i4>5</vt:i4>
      </vt:variant>
      <vt:variant>
        <vt:lpwstr>https://www.mvcr.cz/soubor/osl-pomoc-obetem.aspx</vt:lpwstr>
      </vt:variant>
      <vt:variant>
        <vt:lpwstr/>
      </vt:variant>
      <vt:variant>
        <vt:i4>5701656</vt:i4>
      </vt:variant>
      <vt:variant>
        <vt:i4>3</vt:i4>
      </vt:variant>
      <vt:variant>
        <vt:i4>0</vt:i4>
      </vt:variant>
      <vt:variant>
        <vt:i4>5</vt:i4>
      </vt:variant>
      <vt:variant>
        <vt:lpwstr>http://www.mvcr.cz/clanek/priority-a-postupy-mv-pri-prosazovani-rovnosti-zen-a-muzu.aspx</vt:lpwstr>
      </vt:variant>
      <vt:variant>
        <vt:lpwstr/>
      </vt:variant>
      <vt:variant>
        <vt:i4>2359313</vt:i4>
      </vt:variant>
      <vt:variant>
        <vt:i4>0</vt:i4>
      </vt:variant>
      <vt:variant>
        <vt:i4>0</vt:i4>
      </vt:variant>
      <vt:variant>
        <vt:i4>5</vt:i4>
      </vt:variant>
      <vt:variant>
        <vt:lpwstr>http://www.peacewomen.org/member-states</vt:lpwstr>
      </vt:variant>
      <vt:variant>
        <vt:lpwstr/>
      </vt:variant>
      <vt:variant>
        <vt:i4>3604528</vt:i4>
      </vt:variant>
      <vt:variant>
        <vt:i4>290424</vt:i4>
      </vt:variant>
      <vt:variant>
        <vt:i4>1039</vt:i4>
      </vt:variant>
      <vt:variant>
        <vt:i4>1</vt:i4>
      </vt:variant>
      <vt:variant>
        <vt:lpwstr>07</vt:lpwstr>
      </vt:variant>
      <vt:variant>
        <vt:lpwstr/>
      </vt:variant>
      <vt:variant>
        <vt:i4>852040</vt:i4>
      </vt:variant>
      <vt:variant>
        <vt:i4>325158</vt:i4>
      </vt:variant>
      <vt:variant>
        <vt:i4>1036</vt:i4>
      </vt:variant>
      <vt:variant>
        <vt:i4>1</vt:i4>
      </vt:variant>
      <vt:variant>
        <vt:lpwstr>~6856987</vt:lpwstr>
      </vt:variant>
      <vt:variant>
        <vt:lpwstr/>
      </vt:variant>
      <vt:variant>
        <vt:i4>393288</vt:i4>
      </vt:variant>
      <vt:variant>
        <vt:i4>-1</vt:i4>
      </vt:variant>
      <vt:variant>
        <vt:i4>1028</vt:i4>
      </vt:variant>
      <vt:variant>
        <vt:i4>1</vt:i4>
      </vt:variant>
      <vt:variant>
        <vt:lpwstr>~8699592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2021-06-07T12:19:00Z</dcterms:created>
  <dcterms:modified xsi:type="dcterms:W3CDTF">2021-06-07T12:19:00Z</dcterms:modified>
</cp:coreProperties>
</file>